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2A7A44A0" w:rsidR="00A0673B" w:rsidRPr="00FC1E59" w:rsidRDefault="00BD7507" w:rsidP="00B97E2E">
      <w:pPr>
        <w:tabs>
          <w:tab w:val="center" w:pos="4536"/>
          <w:tab w:val="right" w:pos="8280"/>
          <w:tab w:val="right" w:pos="9781"/>
        </w:tabs>
        <w:ind w:right="-58"/>
        <w:jc w:val="both"/>
        <w:rPr>
          <w:rFonts w:ascii="Arial" w:hAnsi="Arial" w:cs="Arial"/>
          <w:b/>
          <w:bCs/>
          <w:sz w:val="28"/>
          <w:lang w:val="de-DE"/>
        </w:rPr>
      </w:pPr>
      <w:bookmarkStart w:id="0" w:name="_Toc193024528"/>
      <w:r w:rsidRPr="00FC1E59">
        <w:rPr>
          <w:rFonts w:ascii="Arial" w:hAnsi="Arial" w:cs="Arial"/>
          <w:b/>
          <w:bCs/>
          <w:sz w:val="28"/>
          <w:lang w:val="de-DE"/>
        </w:rPr>
        <w:t xml:space="preserve">3GPP TSG RAN WG1 </w:t>
      </w:r>
      <w:r w:rsidR="001B2468" w:rsidRPr="00FC1E59">
        <w:rPr>
          <w:rFonts w:ascii="Arial" w:hAnsi="Arial" w:cs="Arial"/>
          <w:b/>
          <w:bCs/>
          <w:sz w:val="28"/>
          <w:lang w:val="de-DE"/>
        </w:rPr>
        <w:t>#12</w:t>
      </w:r>
      <w:r w:rsidR="008A1F05">
        <w:rPr>
          <w:rFonts w:ascii="Arial" w:hAnsi="Arial" w:cs="Arial"/>
          <w:b/>
          <w:bCs/>
          <w:sz w:val="28"/>
          <w:lang w:val="de-DE"/>
        </w:rPr>
        <w:t>4</w:t>
      </w:r>
      <w:r w:rsidR="00B97E2E" w:rsidRPr="00FC1E59">
        <w:rPr>
          <w:rFonts w:ascii="Arial" w:eastAsia="MS Mincho" w:hAnsi="Arial" w:cs="Arial"/>
          <w:b/>
          <w:bCs/>
          <w:sz w:val="28"/>
          <w:lang w:val="de-DE" w:eastAsia="ja-JP"/>
        </w:rPr>
        <w:t xml:space="preserve">  </w:t>
      </w:r>
      <w:r w:rsidR="00440AAB">
        <w:rPr>
          <w:rFonts w:ascii="Arial" w:eastAsia="MS Mincho" w:hAnsi="Arial" w:cs="Arial"/>
          <w:b/>
          <w:bCs/>
          <w:sz w:val="28"/>
          <w:lang w:val="de-DE" w:eastAsia="ja-JP"/>
        </w:rPr>
        <w:t xml:space="preserve">    </w:t>
      </w:r>
      <w:r w:rsidR="00B97E2E" w:rsidRPr="00FC1E59">
        <w:rPr>
          <w:rFonts w:ascii="Arial" w:eastAsia="MS Mincho" w:hAnsi="Arial" w:cs="Arial"/>
          <w:b/>
          <w:bCs/>
          <w:sz w:val="28"/>
          <w:lang w:val="de-DE" w:eastAsia="ja-JP"/>
        </w:rPr>
        <w:t xml:space="preserve">                                      </w:t>
      </w:r>
      <w:r w:rsidR="00404402" w:rsidRPr="00FC1E59">
        <w:rPr>
          <w:rFonts w:ascii="Arial" w:eastAsia="MS Mincho" w:hAnsi="Arial" w:cs="Arial"/>
          <w:b/>
          <w:bCs/>
          <w:sz w:val="28"/>
          <w:lang w:val="de-DE" w:eastAsia="ja-JP"/>
        </w:rPr>
        <w:t xml:space="preserve">      </w:t>
      </w:r>
      <w:r w:rsidR="00B97E2E" w:rsidRPr="00FC1E59">
        <w:rPr>
          <w:rFonts w:ascii="Arial" w:eastAsia="MS Mincho" w:hAnsi="Arial" w:cs="Arial"/>
          <w:b/>
          <w:bCs/>
          <w:sz w:val="28"/>
          <w:lang w:val="de-DE" w:eastAsia="ja-JP"/>
        </w:rPr>
        <w:t xml:space="preserve">    </w:t>
      </w:r>
      <w:r w:rsidR="006C03DE" w:rsidRPr="00FC1E59">
        <w:rPr>
          <w:rFonts w:ascii="Arial" w:eastAsia="MS Mincho" w:hAnsi="Arial" w:cs="Arial"/>
          <w:b/>
          <w:bCs/>
          <w:sz w:val="28"/>
          <w:lang w:val="de-DE" w:eastAsia="ja-JP"/>
        </w:rPr>
        <w:t xml:space="preserve">  </w:t>
      </w:r>
      <w:r w:rsidR="006F2901" w:rsidRPr="00FC1E59">
        <w:rPr>
          <w:rFonts w:ascii="Arial" w:eastAsia="MS Mincho" w:hAnsi="Arial" w:cs="Arial"/>
          <w:b/>
          <w:bCs/>
          <w:sz w:val="28"/>
          <w:lang w:val="de-DE" w:eastAsia="ja-JP"/>
        </w:rPr>
        <w:t xml:space="preserve">  </w:t>
      </w:r>
      <w:r w:rsidR="00D802B8" w:rsidRPr="00D802B8">
        <w:rPr>
          <w:rFonts w:ascii="Arial" w:hAnsi="Arial" w:cs="Arial"/>
          <w:b/>
          <w:bCs/>
          <w:sz w:val="28"/>
          <w:lang w:val="de-DE"/>
        </w:rPr>
        <w:t>R1-2600896</w:t>
      </w:r>
      <w:r w:rsidR="00D802B8" w:rsidRPr="00D802B8">
        <w:rPr>
          <w:rFonts w:ascii="Arial" w:hAnsi="Arial" w:cs="Arial"/>
          <w:b/>
          <w:bCs/>
          <w:sz w:val="28"/>
          <w:lang w:val="de-DE"/>
        </w:rPr>
        <w:tab/>
      </w:r>
    </w:p>
    <w:p w14:paraId="6F5A350C" w14:textId="4D5CB40B" w:rsidR="00B97E2E" w:rsidRPr="00C71F8B" w:rsidRDefault="00C71F8B" w:rsidP="00B97E2E">
      <w:pPr>
        <w:tabs>
          <w:tab w:val="center" w:pos="4536"/>
          <w:tab w:val="right" w:pos="8280"/>
          <w:tab w:val="right" w:pos="9781"/>
        </w:tabs>
        <w:ind w:right="-58"/>
        <w:jc w:val="both"/>
        <w:rPr>
          <w:rFonts w:ascii="Arial" w:hAnsi="Arial" w:cs="Arial"/>
          <w:b/>
          <w:bCs/>
          <w:sz w:val="28"/>
          <w:lang w:val="de-DE"/>
        </w:rPr>
      </w:pPr>
      <w:r>
        <w:rPr>
          <w:rFonts w:ascii="Arial" w:hAnsi="Arial" w:cs="Arial"/>
          <w:b/>
          <w:bCs/>
          <w:sz w:val="28"/>
          <w:lang w:val="de-DE"/>
        </w:rPr>
        <w:t>Gothenburg</w:t>
      </w:r>
      <w:r w:rsidR="00440AAB" w:rsidRPr="00C71F8B">
        <w:rPr>
          <w:rFonts w:ascii="Arial" w:hAnsi="Arial" w:cs="Arial"/>
          <w:b/>
          <w:bCs/>
          <w:sz w:val="28"/>
          <w:lang w:val="de-DE"/>
        </w:rPr>
        <w:t xml:space="preserve">, </w:t>
      </w:r>
      <w:r>
        <w:rPr>
          <w:rFonts w:ascii="Arial" w:hAnsi="Arial" w:cs="Arial"/>
          <w:b/>
          <w:bCs/>
          <w:sz w:val="28"/>
          <w:lang w:val="de-DE"/>
        </w:rPr>
        <w:t>Swe</w:t>
      </w:r>
      <w:r w:rsidR="004410B0">
        <w:rPr>
          <w:rFonts w:ascii="Arial" w:hAnsi="Arial" w:cs="Arial"/>
          <w:b/>
          <w:bCs/>
          <w:sz w:val="28"/>
          <w:lang w:val="de-DE"/>
        </w:rPr>
        <w:t>d</w:t>
      </w:r>
      <w:r>
        <w:rPr>
          <w:rFonts w:ascii="Arial" w:hAnsi="Arial" w:cs="Arial"/>
          <w:b/>
          <w:bCs/>
          <w:sz w:val="28"/>
          <w:lang w:val="de-DE"/>
        </w:rPr>
        <w:t>en</w:t>
      </w:r>
      <w:r w:rsidR="00440AAB" w:rsidRPr="00C71F8B">
        <w:rPr>
          <w:rFonts w:ascii="Arial" w:hAnsi="Arial" w:cs="Arial"/>
          <w:b/>
          <w:bCs/>
          <w:sz w:val="28"/>
          <w:lang w:val="de-DE"/>
        </w:rPr>
        <w:t xml:space="preserve">, </w:t>
      </w:r>
      <w:r w:rsidR="001108D2" w:rsidRPr="001108D2">
        <w:rPr>
          <w:rFonts w:ascii="Arial" w:hAnsi="Arial" w:cs="Arial"/>
          <w:b/>
          <w:bCs/>
          <w:sz w:val="28"/>
          <w:lang w:val="de-DE"/>
        </w:rPr>
        <w:t>Feb. 9th ~ 13th</w:t>
      </w:r>
      <w:r w:rsidR="00440AAB" w:rsidRPr="00C71F8B">
        <w:rPr>
          <w:rFonts w:ascii="Arial" w:hAnsi="Arial" w:cs="Arial"/>
          <w:b/>
          <w:bCs/>
          <w:sz w:val="28"/>
          <w:lang w:val="de-DE"/>
        </w:rPr>
        <w:t>, 202</w:t>
      </w:r>
      <w:r w:rsidR="008A1F05">
        <w:rPr>
          <w:rFonts w:ascii="Arial" w:hAnsi="Arial" w:cs="Arial"/>
          <w:b/>
          <w:bCs/>
          <w:sz w:val="28"/>
          <w:lang w:val="de-DE"/>
        </w:rPr>
        <w:t>6</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8240" behindDoc="0" locked="1" layoutInCell="1" allowOverlap="1" wp14:anchorId="5915BE97" wp14:editId="5BCD00F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AA110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8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3DEDD3AF"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A7668B">
        <w:rPr>
          <w:rFonts w:ascii="Arial" w:eastAsia="新細明體" w:hAnsi="Arial"/>
          <w:color w:val="000000"/>
          <w:sz w:val="24"/>
          <w:lang w:eastAsia="zh-TW"/>
        </w:rPr>
        <w:t>1</w:t>
      </w:r>
      <w:r w:rsidR="00F71B5F">
        <w:rPr>
          <w:rFonts w:ascii="Arial" w:eastAsia="新細明體" w:hAnsi="Arial"/>
          <w:color w:val="000000"/>
          <w:sz w:val="24"/>
          <w:lang w:eastAsia="zh-TW"/>
        </w:rPr>
        <w:t>0.5.</w:t>
      </w:r>
      <w:r w:rsidR="00A7668B">
        <w:rPr>
          <w:rFonts w:ascii="Arial" w:eastAsia="新細明體" w:hAnsi="Arial"/>
          <w:color w:val="000000"/>
          <w:sz w:val="24"/>
          <w:lang w:eastAsia="zh-TW"/>
        </w:rPr>
        <w:t>1</w:t>
      </w:r>
      <w:r w:rsidR="0089724A" w:rsidRPr="00A87FC3">
        <w:rPr>
          <w:rFonts w:ascii="Arial" w:eastAsia="新細明體" w:hAnsi="Arial"/>
          <w:color w:val="000000"/>
          <w:sz w:val="24"/>
          <w:lang w:eastAsia="zh-TW"/>
        </w:rPr>
        <w:t>.</w:t>
      </w:r>
      <w:r w:rsidR="00F71B5F">
        <w:rPr>
          <w:rFonts w:ascii="Arial" w:eastAsia="新細明體" w:hAnsi="Arial"/>
          <w:color w:val="000000"/>
          <w:sz w:val="24"/>
          <w:lang w:eastAsia="zh-TW"/>
        </w:rPr>
        <w:t>3</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5DDBCCD" w:rsidR="00876D09" w:rsidRPr="00BB4813" w:rsidRDefault="0004296E" w:rsidP="008E6D7D">
      <w:pPr>
        <w:tabs>
          <w:tab w:val="left" w:pos="1985"/>
        </w:tabs>
        <w:spacing w:after="240"/>
        <w:jc w:val="both"/>
        <w:rPr>
          <w:rFonts w:ascii="Arial" w:hAnsi="Arial"/>
          <w:sz w:val="24"/>
        </w:rPr>
      </w:pPr>
      <w:r w:rsidRPr="006B4B4A">
        <w:rPr>
          <w:rFonts w:ascii="Arial" w:hAnsi="Arial"/>
          <w:b/>
          <w:sz w:val="24"/>
        </w:rPr>
        <w:t xml:space="preserve">Title: </w:t>
      </w:r>
      <w:r w:rsidRPr="006B4B4A">
        <w:rPr>
          <w:rFonts w:ascii="Arial" w:hAnsi="Arial"/>
          <w:b/>
          <w:sz w:val="24"/>
        </w:rPr>
        <w:tab/>
      </w:r>
      <w:r w:rsidR="00544B37">
        <w:rPr>
          <w:rFonts w:ascii="Arial" w:hAnsi="Arial"/>
          <w:sz w:val="24"/>
        </w:rPr>
        <w:t>Bandwidth operation</w:t>
      </w:r>
      <w:r w:rsidR="00CD7D8D">
        <w:rPr>
          <w:rFonts w:ascii="Arial" w:hAnsi="Arial"/>
          <w:sz w:val="24"/>
        </w:rPr>
        <w:t xml:space="preserve"> </w:t>
      </w:r>
      <w:r w:rsidR="00BB4813" w:rsidRPr="00BB4813">
        <w:rPr>
          <w:rFonts w:ascii="Arial" w:hAnsi="Arial"/>
          <w:sz w:val="24"/>
        </w:rPr>
        <w:t>for 6GR</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1865F65C" w:rsidR="00D70D4E" w:rsidRPr="006B4B4A" w:rsidRDefault="00D42F94" w:rsidP="008E6D7D">
      <w:pPr>
        <w:pStyle w:val="Heading1"/>
        <w:jc w:val="both"/>
        <w:rPr>
          <w:lang w:val="en-US"/>
        </w:rPr>
      </w:pPr>
      <w:r w:rsidRPr="006B4B4A">
        <w:rPr>
          <w:lang w:val="en-US"/>
        </w:rPr>
        <w:t>Introduction</w:t>
      </w:r>
      <w:r w:rsidR="009C1DBE">
        <w:rPr>
          <w:rFonts w:asciiTheme="minorEastAsia" w:eastAsiaTheme="minorEastAsia" w:hAnsiTheme="minorEastAsia" w:hint="eastAsia"/>
          <w:lang w:eastAsia="zh-TW"/>
        </w:rPr>
        <w:t xml:space="preserve"> </w:t>
      </w:r>
      <w:r w:rsidR="009C1DBE">
        <w:t xml:space="preserve">  </w:t>
      </w:r>
    </w:p>
    <w:bookmarkEnd w:id="0"/>
    <w:p w14:paraId="33F942AB" w14:textId="5EE4D677" w:rsidR="00731FA7" w:rsidRPr="00A052E0" w:rsidRDefault="00E517AB" w:rsidP="00A81614">
      <w:r w:rsidRPr="00A052E0">
        <w:t xml:space="preserve">A new </w:t>
      </w:r>
      <w:r w:rsidR="00247D49" w:rsidRPr="00A052E0">
        <w:t>S</w:t>
      </w:r>
      <w:r w:rsidRPr="00A052E0">
        <w:t xml:space="preserve">ID was introduced in [1] </w:t>
      </w:r>
      <w:r w:rsidR="00247D49" w:rsidRPr="00A052E0">
        <w:t>for 6G study</w:t>
      </w:r>
      <w:r w:rsidRPr="00A052E0">
        <w:t xml:space="preserve"> with the following</w:t>
      </w:r>
      <w:r w:rsidR="001353A4" w:rsidRPr="00A052E0">
        <w:t xml:space="preserve"> excerpted</w:t>
      </w:r>
      <w:r w:rsidRPr="00A052E0">
        <w:t xml:space="preserve"> objectives.</w:t>
      </w:r>
    </w:p>
    <w:tbl>
      <w:tblPr>
        <w:tblStyle w:val="TableGrid"/>
        <w:tblW w:w="0" w:type="auto"/>
        <w:tblLook w:val="04A0" w:firstRow="1" w:lastRow="0" w:firstColumn="1" w:lastColumn="0" w:noHBand="0" w:noVBand="1"/>
      </w:tblPr>
      <w:tblGrid>
        <w:gridCol w:w="9631"/>
      </w:tblGrid>
      <w:tr w:rsidR="00565F11" w:rsidRPr="00A052E0" w14:paraId="23D61FFD" w14:textId="77777777" w:rsidTr="00565F11">
        <w:tc>
          <w:tcPr>
            <w:tcW w:w="9631" w:type="dxa"/>
          </w:tcPr>
          <w:p w14:paraId="32051CFB" w14:textId="77777777" w:rsidR="004057BB" w:rsidRPr="00A052E0" w:rsidRDefault="004057BB" w:rsidP="004057BB">
            <w:pPr>
              <w:rPr>
                <w:rFonts w:ascii="Times New Roman" w:hAnsi="Times New Roman"/>
                <w:color w:val="000000" w:themeColor="text1"/>
              </w:rPr>
            </w:pPr>
            <w:r w:rsidRPr="00A052E0">
              <w:rPr>
                <w:rFonts w:ascii="Times New Roman" w:hAnsi="Times New Roman"/>
                <w:color w:val="000000" w:themeColor="text1"/>
              </w:rPr>
              <w:t>The detailed objectives of the study are:</w:t>
            </w:r>
          </w:p>
          <w:p w14:paraId="093589C7" w14:textId="77777777" w:rsidR="004057BB" w:rsidRPr="00A052E0" w:rsidRDefault="004057BB" w:rsidP="009D39BC">
            <w:pPr>
              <w:pStyle w:val="ListParagraph"/>
              <w:numPr>
                <w:ilvl w:val="0"/>
                <w:numId w:val="15"/>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5F33A6F" w14:textId="77777777" w:rsidR="004057BB" w:rsidRPr="00A052E0"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3F15956F" w14:textId="77777777" w:rsidR="004057BB" w:rsidRPr="00AF6745"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highlight w:val="green"/>
              </w:rPr>
            </w:pPr>
            <w:r w:rsidRPr="00AF6745">
              <w:rPr>
                <w:rFonts w:ascii="Times New Roman" w:hAnsi="Times New Roman"/>
                <w:color w:val="000000" w:themeColor="text1"/>
                <w:sz w:val="20"/>
                <w:szCs w:val="20"/>
                <w:highlight w:val="green"/>
              </w:rPr>
              <w:t>Energy efficiency and energy saving: both for network and device.</w:t>
            </w:r>
          </w:p>
          <w:p w14:paraId="3A128663" w14:textId="77777777" w:rsidR="004057BB" w:rsidRPr="00A052E0"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 xml:space="preserve">Enhanced spectral efficiency. </w:t>
            </w:r>
          </w:p>
          <w:p w14:paraId="73BA4D3E" w14:textId="77777777" w:rsidR="004057BB" w:rsidRPr="00A052E0"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Enhanced overall coverage, focus on cell-edge performance and UL coverage.</w:t>
            </w:r>
          </w:p>
          <w:p w14:paraId="4D323617" w14:textId="77777777" w:rsidR="004057BB" w:rsidRPr="00A052E0"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Wider channel bandwidth (at least 200MHz) support for 6G deployments at least above 2 GHz, around 7 GHz.</w:t>
            </w:r>
          </w:p>
          <w:p w14:paraId="1A51DFDB" w14:textId="77777777" w:rsidR="004057BB" w:rsidRPr="00A052E0"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Re-use of existing 5G mid-band (~3.5GHz) site grid for 6G deployments in at least around 7 GHz and targeting comparable coverage to 5G mid-band.</w:t>
            </w:r>
          </w:p>
          <w:p w14:paraId="5205A3AF" w14:textId="77777777" w:rsidR="004057BB" w:rsidRPr="00AF6745"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highlight w:val="green"/>
              </w:rPr>
            </w:pPr>
            <w:r w:rsidRPr="00AF6745">
              <w:rPr>
                <w:rFonts w:ascii="Times New Roman" w:hAnsi="Times New Roman"/>
                <w:color w:val="000000" w:themeColor="text1"/>
                <w:sz w:val="20"/>
                <w:szCs w:val="20"/>
                <w:highlight w:val="green"/>
              </w:rPr>
              <w:t>Target scalable and forward compatible design for diverse device types.</w:t>
            </w:r>
          </w:p>
          <w:p w14:paraId="3D654338" w14:textId="77777777" w:rsidR="004057BB" w:rsidRPr="00A052E0"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Improved spectrum utilization and operations taking into account diverse spectrum allocations.</w:t>
            </w:r>
          </w:p>
          <w:p w14:paraId="70D0A298" w14:textId="77777777" w:rsidR="004057BB" w:rsidRPr="00A052E0"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Aim at using common 6G Radio design, which meets mobile broadband service requirements as high priority, to also meet vertical needs.</w:t>
            </w:r>
          </w:p>
          <w:p w14:paraId="0EFA869A" w14:textId="77777777" w:rsidR="004057BB" w:rsidRPr="00A052E0"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Aim at a harmonized 6G Radio design for TN and NTN, including their integration.</w:t>
            </w:r>
          </w:p>
          <w:p w14:paraId="3C0A6C48" w14:textId="77777777" w:rsidR="004057BB" w:rsidRPr="00A052E0" w:rsidRDefault="004057BB" w:rsidP="009D39BC">
            <w:pPr>
              <w:pStyle w:val="ListParagraph"/>
              <w:numPr>
                <w:ilvl w:val="1"/>
                <w:numId w:val="16"/>
              </w:numPr>
              <w:overflowPunct w:val="0"/>
              <w:autoSpaceDE w:val="0"/>
              <w:autoSpaceDN w:val="0"/>
              <w:adjustRightInd w:val="0"/>
              <w:spacing w:after="120"/>
              <w:ind w:firstLineChars="0"/>
              <w:contextualSpacing/>
              <w:rPr>
                <w:rFonts w:ascii="Times New Roman" w:hAnsi="Times New Roman"/>
                <w:color w:val="000000" w:themeColor="text1"/>
                <w:sz w:val="20"/>
                <w:szCs w:val="20"/>
              </w:rPr>
            </w:pPr>
            <w:r w:rsidRPr="00A052E0">
              <w:rPr>
                <w:rFonts w:ascii="Times New Roman" w:hAnsi="Times New Roman"/>
                <w:color w:val="000000" w:themeColor="text1"/>
                <w:sz w:val="20"/>
                <w:szCs w:val="20"/>
              </w:rPr>
              <w:t>System simplification, including reducing configuration complexity, enabling more efficient Cell/UE management, etc.</w:t>
            </w:r>
          </w:p>
          <w:p w14:paraId="309A204E" w14:textId="31837C1A" w:rsidR="00565F11" w:rsidRPr="00A052E0" w:rsidRDefault="004057BB" w:rsidP="003F7961">
            <w:pPr>
              <w:spacing w:after="120"/>
              <w:ind w:leftChars="213" w:left="426"/>
              <w:rPr>
                <w:rFonts w:ascii="Times New Roman" w:hAnsi="Times New Roman"/>
                <w:color w:val="000000" w:themeColor="text1"/>
                <w:lang w:eastAsia="ja-JP"/>
              </w:rPr>
            </w:pPr>
            <w:r w:rsidRPr="00A052E0">
              <w:rPr>
                <w:rFonts w:ascii="Times New Roman" w:hAnsi="Times New Roman"/>
                <w:color w:val="000000" w:themeColor="text1"/>
                <w:lang w:eastAsia="ja-JP"/>
              </w:rPr>
              <w:t>Note1: the term stand-alone architecture does not imply any particular Core network architecture, which is up to SA2 discussion.</w:t>
            </w:r>
          </w:p>
        </w:tc>
      </w:tr>
    </w:tbl>
    <w:p w14:paraId="29D59CD3" w14:textId="77777777" w:rsidR="0098152A" w:rsidRDefault="0098152A" w:rsidP="006165E2">
      <w:pPr>
        <w:rPr>
          <w:rFonts w:eastAsiaTheme="minorEastAsia"/>
          <w:lang w:eastAsia="zh-TW"/>
        </w:rPr>
      </w:pPr>
    </w:p>
    <w:p w14:paraId="27B61353" w14:textId="6444E71A" w:rsidR="00A61CC9" w:rsidRPr="00A61CC9" w:rsidRDefault="00C87C2F" w:rsidP="00A61CC9">
      <w:pPr>
        <w:pStyle w:val="Heading1"/>
      </w:pPr>
      <w:r>
        <w:rPr>
          <w:rFonts w:eastAsiaTheme="minorEastAsia"/>
          <w:lang w:eastAsia="zh-TW"/>
        </w:rPr>
        <w:t>Use Cases</w:t>
      </w:r>
      <w:r w:rsidR="00A61CC9" w:rsidRPr="00A61CC9">
        <w:rPr>
          <w:rFonts w:eastAsiaTheme="minorEastAsia"/>
          <w:lang w:eastAsia="zh-TW"/>
        </w:rPr>
        <w:t xml:space="preserve"> for 6GR</w:t>
      </w:r>
      <w:r>
        <w:rPr>
          <w:rFonts w:eastAsiaTheme="minorEastAsia"/>
          <w:lang w:eastAsia="zh-TW"/>
        </w:rPr>
        <w:t xml:space="preserve"> BWP Operation</w:t>
      </w:r>
    </w:p>
    <w:p w14:paraId="5D57DFD4" w14:textId="774D207F" w:rsidR="006372C5" w:rsidRPr="006372C5" w:rsidRDefault="006372C5" w:rsidP="006372C5">
      <w:pPr>
        <w:spacing w:after="120"/>
        <w:jc w:val="both"/>
        <w:textAlignment w:val="auto"/>
        <w:rPr>
          <w:rFonts w:eastAsia="新細明體"/>
          <w:bCs/>
          <w:lang w:eastAsia="zh-TW"/>
        </w:rPr>
      </w:pPr>
      <w:r w:rsidRPr="006372C5">
        <w:rPr>
          <w:rFonts w:eastAsia="新細明體"/>
          <w:bCs/>
          <w:lang w:eastAsia="zh-TW"/>
        </w:rPr>
        <w:t>In 5G NR, the initial use cases of BWP operation include: 1) UE power saving; 2) Efficient coexistence of wideband and narrowband UEs within a wideband carrier. After RAN1 discussion, the use case expands to include: 3) Numerology change within a carrier; 4) Full RRC configuration switch. It results in over-design of BWP operation. After years of 5G deployment, the la</w:t>
      </w:r>
      <w:r w:rsidR="0070111B">
        <w:rPr>
          <w:rFonts w:eastAsia="新細明體"/>
          <w:bCs/>
          <w:lang w:eastAsia="zh-TW"/>
        </w:rPr>
        <w:t>t</w:t>
      </w:r>
      <w:r w:rsidRPr="006372C5">
        <w:rPr>
          <w:rFonts w:eastAsia="新細明體"/>
          <w:bCs/>
          <w:lang w:eastAsia="zh-TW"/>
        </w:rPr>
        <w:t>ter two use cases are not used in real network. Considering the lesson learn</w:t>
      </w:r>
      <w:r w:rsidR="006E376E">
        <w:rPr>
          <w:rFonts w:eastAsia="新細明體"/>
          <w:bCs/>
          <w:lang w:eastAsia="zh-TW"/>
        </w:rPr>
        <w:t>ed</w:t>
      </w:r>
      <w:r w:rsidRPr="006372C5">
        <w:rPr>
          <w:rFonts w:eastAsia="新細明體"/>
          <w:bCs/>
          <w:lang w:eastAsia="zh-TW"/>
        </w:rPr>
        <w:t xml:space="preserve"> from 5G NR, it’s suggested to study and agree on the use cases for 6GR bandwidth operation and then work on details based on the agreed use cases.</w:t>
      </w:r>
    </w:p>
    <w:p w14:paraId="0F32A72E" w14:textId="77777777" w:rsidR="006372C5" w:rsidRPr="006372C5" w:rsidRDefault="006372C5" w:rsidP="006372C5">
      <w:pPr>
        <w:spacing w:after="120"/>
        <w:jc w:val="both"/>
        <w:textAlignment w:val="auto"/>
        <w:rPr>
          <w:rFonts w:eastAsia="新細明體"/>
          <w:bCs/>
          <w:lang w:eastAsia="zh-TW"/>
        </w:rPr>
      </w:pPr>
      <w:r w:rsidRPr="006372C5">
        <w:rPr>
          <w:rFonts w:eastAsia="新細明體"/>
          <w:bCs/>
          <w:lang w:eastAsia="zh-TW"/>
        </w:rPr>
        <w:t>In 6GR SID, “energy efficiency and energy saving (both for network and device)” and “target scalable and forward compatible design for diverse device types” are listed as part of design principles. It’s proposed that 6GR bandwidth operation should at least include the following use cases with reasons.</w:t>
      </w:r>
    </w:p>
    <w:p w14:paraId="2544370D" w14:textId="77777777" w:rsidR="006372C5" w:rsidRPr="006372C5" w:rsidRDefault="006372C5" w:rsidP="00E272F0">
      <w:pPr>
        <w:numPr>
          <w:ilvl w:val="0"/>
          <w:numId w:val="17"/>
        </w:numPr>
        <w:overflowPunct/>
        <w:autoSpaceDE/>
        <w:autoSpaceDN/>
        <w:adjustRightInd/>
        <w:spacing w:after="0"/>
        <w:textAlignment w:val="auto"/>
        <w:rPr>
          <w:rFonts w:eastAsia="新細明體"/>
          <w:bCs/>
          <w:lang w:eastAsia="zh-TW"/>
        </w:rPr>
      </w:pPr>
      <w:r w:rsidRPr="006372C5">
        <w:rPr>
          <w:rFonts w:eastAsia="新細明體"/>
          <w:b/>
          <w:lang w:eastAsia="zh-TW"/>
        </w:rPr>
        <w:t>Use case #1:</w:t>
      </w:r>
      <w:r w:rsidRPr="006372C5">
        <w:rPr>
          <w:rFonts w:eastAsia="新細明體"/>
          <w:bCs/>
          <w:lang w:eastAsia="zh-TW"/>
        </w:rPr>
        <w:t xml:space="preserve"> Energy saving at both UE and NW sides (illustrated in figure 1)</w:t>
      </w:r>
    </w:p>
    <w:p w14:paraId="4500AF0F" w14:textId="77777777" w:rsidR="006372C5" w:rsidRPr="006372C5" w:rsidRDefault="006372C5" w:rsidP="00E272F0">
      <w:pPr>
        <w:numPr>
          <w:ilvl w:val="1"/>
          <w:numId w:val="17"/>
        </w:numPr>
        <w:overflowPunct/>
        <w:autoSpaceDE/>
        <w:autoSpaceDN/>
        <w:adjustRightInd/>
        <w:spacing w:after="0"/>
        <w:textAlignment w:val="auto"/>
        <w:rPr>
          <w:rFonts w:eastAsia="新細明體"/>
          <w:bCs/>
          <w:lang w:eastAsia="zh-TW"/>
        </w:rPr>
      </w:pPr>
      <w:r w:rsidRPr="006372C5">
        <w:rPr>
          <w:rFonts w:eastAsia="新細明體"/>
          <w:bCs/>
          <w:lang w:eastAsia="zh-TW"/>
        </w:rPr>
        <w:t>Required functions:</w:t>
      </w:r>
    </w:p>
    <w:p w14:paraId="4648BB46" w14:textId="77777777" w:rsidR="006372C5" w:rsidRPr="006372C5" w:rsidRDefault="006372C5" w:rsidP="00E272F0">
      <w:pPr>
        <w:numPr>
          <w:ilvl w:val="2"/>
          <w:numId w:val="17"/>
        </w:numPr>
        <w:overflowPunct/>
        <w:autoSpaceDE/>
        <w:autoSpaceDN/>
        <w:adjustRightInd/>
        <w:spacing w:after="0"/>
        <w:textAlignment w:val="auto"/>
        <w:rPr>
          <w:rFonts w:eastAsia="新細明體"/>
          <w:bCs/>
          <w:lang w:eastAsia="zh-TW"/>
        </w:rPr>
      </w:pPr>
      <w:r w:rsidRPr="006372C5">
        <w:rPr>
          <w:rFonts w:eastAsia="新細明體"/>
          <w:bCs/>
          <w:lang w:eastAsia="zh-TW"/>
        </w:rPr>
        <w:lastRenderedPageBreak/>
        <w:t>Semi-static adaptation of bandwidth size, MIMO layers, modulation order and CSI acquisition</w:t>
      </w:r>
    </w:p>
    <w:p w14:paraId="6F454AB0" w14:textId="01F732C5" w:rsidR="006372C5" w:rsidRPr="006372C5" w:rsidRDefault="002A1514" w:rsidP="00E272F0">
      <w:pPr>
        <w:numPr>
          <w:ilvl w:val="2"/>
          <w:numId w:val="17"/>
        </w:numPr>
        <w:overflowPunct/>
        <w:autoSpaceDE/>
        <w:autoSpaceDN/>
        <w:adjustRightInd/>
        <w:spacing w:after="0"/>
        <w:textAlignment w:val="auto"/>
        <w:rPr>
          <w:rFonts w:eastAsia="新細明體"/>
          <w:bCs/>
          <w:lang w:eastAsia="zh-TW"/>
        </w:rPr>
      </w:pPr>
      <w:r>
        <w:rPr>
          <w:rFonts w:eastAsia="新細明體"/>
          <w:bCs/>
          <w:lang w:eastAsia="zh-TW"/>
        </w:rPr>
        <w:t>Frequency l</w:t>
      </w:r>
      <w:r w:rsidR="006372C5" w:rsidRPr="006372C5">
        <w:rPr>
          <w:rFonts w:eastAsia="新細明體"/>
          <w:bCs/>
          <w:lang w:eastAsia="zh-TW"/>
        </w:rPr>
        <w:t>ocation change of narrowband UEs for load balancing within a wideband carrier</w:t>
      </w:r>
    </w:p>
    <w:p w14:paraId="504F2F1B" w14:textId="77777777" w:rsidR="006372C5" w:rsidRPr="006372C5" w:rsidRDefault="006372C5" w:rsidP="00E272F0">
      <w:pPr>
        <w:numPr>
          <w:ilvl w:val="2"/>
          <w:numId w:val="17"/>
        </w:numPr>
        <w:overflowPunct/>
        <w:autoSpaceDE/>
        <w:autoSpaceDN/>
        <w:adjustRightInd/>
        <w:spacing w:after="0"/>
        <w:textAlignment w:val="auto"/>
        <w:rPr>
          <w:rFonts w:eastAsia="新細明體"/>
          <w:bCs/>
          <w:lang w:eastAsia="zh-TW"/>
        </w:rPr>
      </w:pPr>
      <w:r w:rsidRPr="006372C5">
        <w:rPr>
          <w:rFonts w:eastAsia="新細明體"/>
          <w:bCs/>
          <w:lang w:eastAsia="zh-TW"/>
        </w:rPr>
        <w:t>Multi-cluster/segment bandwidth operation in multi-carrier cell</w:t>
      </w:r>
    </w:p>
    <w:p w14:paraId="08CF11AD" w14:textId="77777777" w:rsidR="006372C5" w:rsidRPr="006372C5" w:rsidRDefault="006372C5" w:rsidP="00E272F0">
      <w:pPr>
        <w:numPr>
          <w:ilvl w:val="2"/>
          <w:numId w:val="17"/>
        </w:numPr>
        <w:overflowPunct/>
        <w:autoSpaceDE/>
        <w:autoSpaceDN/>
        <w:adjustRightInd/>
        <w:spacing w:after="0"/>
        <w:textAlignment w:val="auto"/>
        <w:rPr>
          <w:rFonts w:eastAsia="新細明體"/>
          <w:bCs/>
          <w:lang w:eastAsia="zh-TW"/>
        </w:rPr>
      </w:pPr>
      <w:r w:rsidRPr="006372C5">
        <w:rPr>
          <w:rFonts w:eastAsia="新細明體"/>
          <w:bCs/>
          <w:lang w:eastAsia="zh-TW"/>
        </w:rPr>
        <w:t>Shorter switch delay/interruption than L2/L3 signals</w:t>
      </w:r>
    </w:p>
    <w:p w14:paraId="0AE5DEC9" w14:textId="77777777" w:rsidR="006372C5" w:rsidRPr="006372C5" w:rsidRDefault="006372C5" w:rsidP="00E272F0">
      <w:pPr>
        <w:numPr>
          <w:ilvl w:val="1"/>
          <w:numId w:val="17"/>
        </w:numPr>
        <w:overflowPunct/>
        <w:autoSpaceDE/>
        <w:autoSpaceDN/>
        <w:adjustRightInd/>
        <w:spacing w:after="0"/>
        <w:textAlignment w:val="auto"/>
        <w:rPr>
          <w:rFonts w:eastAsia="新細明體"/>
          <w:bCs/>
          <w:lang w:eastAsia="zh-TW"/>
        </w:rPr>
      </w:pPr>
      <w:r w:rsidRPr="006372C5">
        <w:rPr>
          <w:rFonts w:eastAsia="新細明體"/>
          <w:bCs/>
          <w:lang w:eastAsia="zh-TW"/>
        </w:rPr>
        <w:t>Reasons:</w:t>
      </w:r>
    </w:p>
    <w:p w14:paraId="2FA07CB1" w14:textId="77777777" w:rsidR="006372C5" w:rsidRPr="006372C5" w:rsidRDefault="006372C5" w:rsidP="00E272F0">
      <w:pPr>
        <w:numPr>
          <w:ilvl w:val="2"/>
          <w:numId w:val="17"/>
        </w:numPr>
        <w:overflowPunct/>
        <w:autoSpaceDE/>
        <w:autoSpaceDN/>
        <w:adjustRightInd/>
        <w:spacing w:after="0"/>
        <w:textAlignment w:val="auto"/>
        <w:rPr>
          <w:rFonts w:eastAsia="新細明體"/>
          <w:bCs/>
          <w:lang w:eastAsia="zh-TW"/>
        </w:rPr>
      </w:pPr>
      <w:r w:rsidRPr="006372C5">
        <w:rPr>
          <w:rFonts w:eastAsia="新細明體"/>
          <w:bCs/>
          <w:lang w:eastAsia="zh-TW"/>
        </w:rPr>
        <w:t>Increased max UE CBW (e.g. 100MHz to 200MHz or above), increased max SU-MIMO layer number (e.g. 4 layers to 6 layers or above) and increased max modulation order (e.g. 1024QAM or above) introduces higher power consumption (vs. 5G NR) for low/medium load (more common in daily life) at UE side</w:t>
      </w:r>
    </w:p>
    <w:p w14:paraId="3ADC6A91" w14:textId="77777777" w:rsidR="006372C5" w:rsidRPr="006372C5" w:rsidRDefault="006372C5" w:rsidP="00E272F0">
      <w:pPr>
        <w:numPr>
          <w:ilvl w:val="2"/>
          <w:numId w:val="17"/>
        </w:numPr>
        <w:overflowPunct/>
        <w:autoSpaceDE/>
        <w:autoSpaceDN/>
        <w:adjustRightInd/>
        <w:spacing w:after="0"/>
        <w:textAlignment w:val="auto"/>
        <w:rPr>
          <w:rFonts w:eastAsia="新細明體"/>
          <w:bCs/>
          <w:lang w:eastAsia="zh-TW"/>
        </w:rPr>
      </w:pPr>
      <w:r w:rsidRPr="006372C5">
        <w:rPr>
          <w:rFonts w:eastAsia="新細明體"/>
          <w:bCs/>
          <w:lang w:eastAsia="zh-TW"/>
        </w:rPr>
        <w:t>Increased aggregated UE bandwidth size of a cell introduces higher power consumption (vs. 5G NR) for low/medium load (more common in daily life) at UE side</w:t>
      </w:r>
    </w:p>
    <w:p w14:paraId="34F11578" w14:textId="77777777" w:rsidR="006372C5" w:rsidRPr="006372C5" w:rsidRDefault="006372C5" w:rsidP="00E272F0">
      <w:pPr>
        <w:numPr>
          <w:ilvl w:val="2"/>
          <w:numId w:val="17"/>
        </w:numPr>
        <w:overflowPunct/>
        <w:autoSpaceDE/>
        <w:autoSpaceDN/>
        <w:adjustRightInd/>
        <w:spacing w:after="0"/>
        <w:textAlignment w:val="auto"/>
        <w:rPr>
          <w:rFonts w:eastAsia="新細明體"/>
          <w:bCs/>
          <w:lang w:eastAsia="zh-TW"/>
        </w:rPr>
      </w:pPr>
      <w:r w:rsidRPr="006372C5">
        <w:rPr>
          <w:rFonts w:eastAsia="新細明體"/>
          <w:bCs/>
          <w:lang w:eastAsia="zh-TW"/>
        </w:rPr>
        <w:t>Compared to UE-side time-domain adaptation solutions (e.g. LP-WUS, SSSG, PDCCH skipping), semi-static bandwidth adaptation with shorter switch delay/interruption (e.g. 0.5~3 ms) than L2/L3 signals and LP-WUS enables deeper sleep for most of UE modem portion without impacting the latency of services commonly used in daily life</w:t>
      </w:r>
    </w:p>
    <w:p w14:paraId="1FD15970" w14:textId="77777777" w:rsidR="006372C5" w:rsidRPr="006372C5" w:rsidRDefault="006372C5" w:rsidP="00E272F0">
      <w:pPr>
        <w:numPr>
          <w:ilvl w:val="2"/>
          <w:numId w:val="17"/>
        </w:numPr>
        <w:overflowPunct/>
        <w:autoSpaceDE/>
        <w:autoSpaceDN/>
        <w:adjustRightInd/>
        <w:spacing w:after="120"/>
        <w:textAlignment w:val="auto"/>
        <w:rPr>
          <w:rFonts w:eastAsia="新細明體"/>
          <w:bCs/>
          <w:lang w:eastAsia="zh-TW"/>
        </w:rPr>
      </w:pPr>
      <w:r w:rsidRPr="006372C5">
        <w:rPr>
          <w:rFonts w:eastAsia="新細明體"/>
          <w:bCs/>
          <w:lang w:eastAsia="zh-TW"/>
        </w:rPr>
        <w:t>In addition to NW-side time-domain adaptation solutions (e.g. cell DTX/DRX), it enables frequency-domain adaptation and potentially spatial-domain adaptation with shorter switch delay (e.g. 0.5~3 ms) for energy saving in low cell load between the states of fully off and fully on</w:t>
      </w:r>
    </w:p>
    <w:p w14:paraId="3D60E40C" w14:textId="77777777" w:rsidR="006372C5" w:rsidRPr="006372C5" w:rsidRDefault="006372C5" w:rsidP="00E272F0">
      <w:pPr>
        <w:numPr>
          <w:ilvl w:val="0"/>
          <w:numId w:val="17"/>
        </w:numPr>
        <w:overflowPunct/>
        <w:autoSpaceDE/>
        <w:autoSpaceDN/>
        <w:adjustRightInd/>
        <w:spacing w:after="0"/>
        <w:textAlignment w:val="auto"/>
        <w:rPr>
          <w:rFonts w:eastAsia="新細明體"/>
          <w:bCs/>
          <w:lang w:eastAsia="zh-TW"/>
        </w:rPr>
      </w:pPr>
      <w:r w:rsidRPr="006372C5">
        <w:rPr>
          <w:rFonts w:eastAsia="新細明體"/>
          <w:b/>
          <w:lang w:eastAsia="zh-TW"/>
        </w:rPr>
        <w:t>Use case #2:</w:t>
      </w:r>
      <w:r w:rsidRPr="006372C5">
        <w:rPr>
          <w:rFonts w:eastAsia="新細明體"/>
          <w:bCs/>
          <w:lang w:eastAsia="zh-TW"/>
        </w:rPr>
        <w:t xml:space="preserve"> Efficient coexistence of wideband UEs and narrowband UEs within a wideband carrier</w:t>
      </w:r>
    </w:p>
    <w:p w14:paraId="49196957" w14:textId="77777777" w:rsidR="006372C5" w:rsidRPr="006372C5" w:rsidRDefault="006372C5" w:rsidP="00E272F0">
      <w:pPr>
        <w:numPr>
          <w:ilvl w:val="1"/>
          <w:numId w:val="17"/>
        </w:numPr>
        <w:overflowPunct/>
        <w:autoSpaceDE/>
        <w:autoSpaceDN/>
        <w:adjustRightInd/>
        <w:spacing w:after="0"/>
        <w:textAlignment w:val="auto"/>
        <w:rPr>
          <w:rFonts w:eastAsia="新細明體"/>
          <w:bCs/>
          <w:lang w:eastAsia="zh-TW"/>
        </w:rPr>
      </w:pPr>
      <w:r w:rsidRPr="006372C5">
        <w:rPr>
          <w:rFonts w:eastAsia="新細明體"/>
          <w:bCs/>
          <w:lang w:eastAsia="zh-TW"/>
        </w:rPr>
        <w:t>Required functions:</w:t>
      </w:r>
    </w:p>
    <w:p w14:paraId="6EEB054C" w14:textId="77777777" w:rsidR="006372C5" w:rsidRPr="006372C5" w:rsidRDefault="006372C5" w:rsidP="00E272F0">
      <w:pPr>
        <w:numPr>
          <w:ilvl w:val="2"/>
          <w:numId w:val="17"/>
        </w:numPr>
        <w:overflowPunct/>
        <w:autoSpaceDE/>
        <w:autoSpaceDN/>
        <w:adjustRightInd/>
        <w:spacing w:after="0"/>
        <w:textAlignment w:val="auto"/>
        <w:rPr>
          <w:rFonts w:eastAsia="新細明體"/>
          <w:bCs/>
          <w:lang w:eastAsia="zh-TW"/>
        </w:rPr>
      </w:pPr>
      <w:r w:rsidRPr="006372C5">
        <w:rPr>
          <w:rFonts w:eastAsia="新細明體"/>
          <w:bCs/>
          <w:lang w:eastAsia="zh-TW"/>
        </w:rPr>
        <w:t>Coexistence of wideband UEs and narrowband UEs within a wideband carrier</w:t>
      </w:r>
    </w:p>
    <w:p w14:paraId="49371484" w14:textId="4B79BEE1" w:rsidR="006372C5" w:rsidRPr="006372C5" w:rsidRDefault="00BA37F0" w:rsidP="00E272F0">
      <w:pPr>
        <w:numPr>
          <w:ilvl w:val="2"/>
          <w:numId w:val="17"/>
        </w:numPr>
        <w:overflowPunct/>
        <w:autoSpaceDE/>
        <w:autoSpaceDN/>
        <w:adjustRightInd/>
        <w:spacing w:after="0"/>
        <w:textAlignment w:val="auto"/>
        <w:rPr>
          <w:rFonts w:eastAsia="新細明體"/>
          <w:bCs/>
          <w:lang w:eastAsia="zh-TW"/>
        </w:rPr>
      </w:pPr>
      <w:r>
        <w:rPr>
          <w:rFonts w:eastAsia="新細明體"/>
          <w:bCs/>
          <w:lang w:eastAsia="zh-TW"/>
        </w:rPr>
        <w:t>Frequency l</w:t>
      </w:r>
      <w:r w:rsidR="006372C5" w:rsidRPr="006372C5">
        <w:rPr>
          <w:rFonts w:eastAsia="新細明體"/>
          <w:bCs/>
          <w:lang w:eastAsia="zh-TW"/>
        </w:rPr>
        <w:t>ocation change of narrowband UEs for load balancing within a wideband carrier</w:t>
      </w:r>
    </w:p>
    <w:p w14:paraId="611AF8F9" w14:textId="77777777" w:rsidR="006372C5" w:rsidRPr="006372C5" w:rsidRDefault="006372C5" w:rsidP="00E272F0">
      <w:pPr>
        <w:numPr>
          <w:ilvl w:val="2"/>
          <w:numId w:val="17"/>
        </w:numPr>
        <w:overflowPunct/>
        <w:autoSpaceDE/>
        <w:autoSpaceDN/>
        <w:adjustRightInd/>
        <w:spacing w:after="0"/>
        <w:textAlignment w:val="auto"/>
        <w:rPr>
          <w:rFonts w:eastAsia="新細明體"/>
          <w:bCs/>
          <w:lang w:eastAsia="zh-TW"/>
        </w:rPr>
      </w:pPr>
      <w:r w:rsidRPr="006372C5">
        <w:rPr>
          <w:rFonts w:eastAsia="新細明體"/>
          <w:bCs/>
          <w:lang w:eastAsia="zh-TW"/>
        </w:rPr>
        <w:t>Multi-cluster/segment bandwidth operation in multi-carrier cell</w:t>
      </w:r>
    </w:p>
    <w:p w14:paraId="62CE4D4F" w14:textId="77777777" w:rsidR="006372C5" w:rsidRPr="006372C5" w:rsidRDefault="006372C5" w:rsidP="00E272F0">
      <w:pPr>
        <w:numPr>
          <w:ilvl w:val="1"/>
          <w:numId w:val="17"/>
        </w:numPr>
        <w:overflowPunct/>
        <w:autoSpaceDE/>
        <w:autoSpaceDN/>
        <w:adjustRightInd/>
        <w:spacing w:after="0"/>
        <w:textAlignment w:val="auto"/>
        <w:rPr>
          <w:rFonts w:eastAsia="新細明體"/>
          <w:bCs/>
          <w:lang w:eastAsia="zh-TW"/>
        </w:rPr>
      </w:pPr>
      <w:r w:rsidRPr="006372C5">
        <w:rPr>
          <w:rFonts w:eastAsia="新細明體"/>
          <w:bCs/>
          <w:lang w:eastAsia="zh-TW"/>
        </w:rPr>
        <w:t>Reasons:</w:t>
      </w:r>
    </w:p>
    <w:p w14:paraId="1F78BC46" w14:textId="77777777" w:rsidR="006372C5" w:rsidRPr="006372C5" w:rsidRDefault="006372C5" w:rsidP="00E272F0">
      <w:pPr>
        <w:numPr>
          <w:ilvl w:val="2"/>
          <w:numId w:val="17"/>
        </w:numPr>
        <w:overflowPunct/>
        <w:autoSpaceDE/>
        <w:autoSpaceDN/>
        <w:adjustRightInd/>
        <w:spacing w:after="120"/>
        <w:ind w:hanging="482"/>
        <w:textAlignment w:val="auto"/>
        <w:rPr>
          <w:rFonts w:eastAsia="新細明體"/>
          <w:bCs/>
          <w:lang w:eastAsia="zh-TW"/>
        </w:rPr>
      </w:pPr>
      <w:r w:rsidRPr="006372C5">
        <w:rPr>
          <w:rFonts w:eastAsia="新細明體"/>
          <w:bCs/>
          <w:lang w:eastAsia="zh-TW"/>
        </w:rPr>
        <w:t>Support both MBB and IoT device types, starting from 1</w:t>
      </w:r>
      <w:r w:rsidRPr="006372C5">
        <w:rPr>
          <w:rFonts w:eastAsia="新細明體"/>
          <w:bCs/>
          <w:vertAlign w:val="superscript"/>
          <w:lang w:eastAsia="zh-TW"/>
        </w:rPr>
        <w:t>st</w:t>
      </w:r>
      <w:r w:rsidRPr="006372C5">
        <w:rPr>
          <w:rFonts w:eastAsia="新細明體"/>
          <w:bCs/>
          <w:lang w:eastAsia="zh-TW"/>
        </w:rPr>
        <w:t xml:space="preserve"> release of 6GR</w:t>
      </w:r>
    </w:p>
    <w:p w14:paraId="75DB8478" w14:textId="77777777" w:rsidR="006372C5" w:rsidRPr="006372C5" w:rsidRDefault="006372C5" w:rsidP="00E272F0">
      <w:pPr>
        <w:numPr>
          <w:ilvl w:val="0"/>
          <w:numId w:val="17"/>
        </w:numPr>
        <w:overflowPunct/>
        <w:autoSpaceDE/>
        <w:autoSpaceDN/>
        <w:adjustRightInd/>
        <w:spacing w:after="0"/>
        <w:ind w:left="766" w:hanging="482"/>
        <w:textAlignment w:val="auto"/>
        <w:rPr>
          <w:rFonts w:eastAsia="新細明體"/>
          <w:bCs/>
          <w:lang w:eastAsia="zh-TW"/>
        </w:rPr>
      </w:pPr>
      <w:r w:rsidRPr="006372C5">
        <w:rPr>
          <w:rFonts w:eastAsia="新細明體"/>
          <w:b/>
          <w:lang w:eastAsia="zh-TW"/>
        </w:rPr>
        <w:t>Use case #3:</w:t>
      </w:r>
      <w:r w:rsidRPr="006372C5">
        <w:rPr>
          <w:rFonts w:eastAsia="新細明體"/>
          <w:bCs/>
          <w:lang w:eastAsia="zh-TW"/>
        </w:rPr>
        <w:t xml:space="preserve"> SBFD (illustrated in figure 2)</w:t>
      </w:r>
    </w:p>
    <w:p w14:paraId="0175F4E5" w14:textId="77777777" w:rsidR="006372C5" w:rsidRPr="006372C5" w:rsidRDefault="006372C5" w:rsidP="00E272F0">
      <w:pPr>
        <w:numPr>
          <w:ilvl w:val="1"/>
          <w:numId w:val="17"/>
        </w:numPr>
        <w:overflowPunct/>
        <w:autoSpaceDE/>
        <w:autoSpaceDN/>
        <w:adjustRightInd/>
        <w:spacing w:after="0"/>
        <w:ind w:left="1247" w:hanging="482"/>
        <w:textAlignment w:val="auto"/>
        <w:rPr>
          <w:rFonts w:eastAsia="新細明體"/>
          <w:bCs/>
          <w:lang w:eastAsia="zh-TW"/>
        </w:rPr>
      </w:pPr>
      <w:r w:rsidRPr="006372C5">
        <w:rPr>
          <w:rFonts w:eastAsia="新細明體"/>
          <w:bCs/>
          <w:lang w:eastAsia="zh-TW"/>
        </w:rPr>
        <w:t>Required functions:</w:t>
      </w:r>
    </w:p>
    <w:p w14:paraId="2540AE10" w14:textId="77777777" w:rsidR="006372C5" w:rsidRPr="006372C5" w:rsidRDefault="006372C5" w:rsidP="00E272F0">
      <w:pPr>
        <w:numPr>
          <w:ilvl w:val="2"/>
          <w:numId w:val="17"/>
        </w:numPr>
        <w:overflowPunct/>
        <w:autoSpaceDE/>
        <w:autoSpaceDN/>
        <w:adjustRightInd/>
        <w:spacing w:after="0"/>
        <w:ind w:hanging="482"/>
        <w:textAlignment w:val="auto"/>
        <w:rPr>
          <w:rFonts w:eastAsia="新細明體"/>
          <w:bCs/>
          <w:lang w:eastAsia="zh-TW"/>
        </w:rPr>
      </w:pPr>
      <w:r w:rsidRPr="006372C5">
        <w:rPr>
          <w:rFonts w:eastAsia="新細明體"/>
          <w:bCs/>
          <w:lang w:eastAsia="zh-TW"/>
        </w:rPr>
        <w:t>Multi-cluster/segment bandwidth operation within a single-carrier cell</w:t>
      </w:r>
    </w:p>
    <w:p w14:paraId="3D62707C" w14:textId="77777777" w:rsidR="006372C5" w:rsidRPr="006372C5" w:rsidRDefault="006372C5" w:rsidP="00E272F0">
      <w:pPr>
        <w:numPr>
          <w:ilvl w:val="2"/>
          <w:numId w:val="17"/>
        </w:numPr>
        <w:overflowPunct/>
        <w:autoSpaceDE/>
        <w:autoSpaceDN/>
        <w:adjustRightInd/>
        <w:spacing w:after="0"/>
        <w:ind w:hanging="482"/>
        <w:textAlignment w:val="auto"/>
        <w:rPr>
          <w:rFonts w:eastAsia="新細明體"/>
          <w:bCs/>
          <w:lang w:eastAsia="zh-TW"/>
        </w:rPr>
      </w:pPr>
      <w:r w:rsidRPr="006372C5">
        <w:rPr>
          <w:rFonts w:eastAsia="新細明體"/>
          <w:bCs/>
          <w:lang w:eastAsia="zh-TW"/>
        </w:rPr>
        <w:t>Multi-cluster/segment bandwidth operation within a multi-carrier cell</w:t>
      </w:r>
    </w:p>
    <w:p w14:paraId="04820DC5" w14:textId="77777777" w:rsidR="006372C5" w:rsidRPr="006372C5" w:rsidRDefault="006372C5" w:rsidP="00E272F0">
      <w:pPr>
        <w:numPr>
          <w:ilvl w:val="2"/>
          <w:numId w:val="17"/>
        </w:numPr>
        <w:overflowPunct/>
        <w:autoSpaceDE/>
        <w:autoSpaceDN/>
        <w:adjustRightInd/>
        <w:spacing w:after="0"/>
        <w:ind w:hanging="482"/>
        <w:textAlignment w:val="auto"/>
        <w:rPr>
          <w:rFonts w:eastAsia="新細明體"/>
          <w:bCs/>
          <w:lang w:eastAsia="zh-TW"/>
        </w:rPr>
      </w:pPr>
      <w:r w:rsidRPr="006372C5">
        <w:rPr>
          <w:rFonts w:eastAsia="新細明體"/>
          <w:bCs/>
          <w:lang w:eastAsia="zh-TW"/>
        </w:rPr>
        <w:t>UL/DL pattern per cluster/segment</w:t>
      </w:r>
    </w:p>
    <w:p w14:paraId="0C56E9BB" w14:textId="77777777" w:rsidR="006372C5" w:rsidRPr="006372C5" w:rsidRDefault="006372C5" w:rsidP="00E272F0">
      <w:pPr>
        <w:numPr>
          <w:ilvl w:val="1"/>
          <w:numId w:val="17"/>
        </w:numPr>
        <w:overflowPunct/>
        <w:autoSpaceDE/>
        <w:autoSpaceDN/>
        <w:adjustRightInd/>
        <w:spacing w:after="0"/>
        <w:ind w:left="1247" w:hanging="482"/>
        <w:textAlignment w:val="auto"/>
        <w:rPr>
          <w:rFonts w:eastAsia="新細明體"/>
          <w:bCs/>
          <w:lang w:eastAsia="zh-TW"/>
        </w:rPr>
      </w:pPr>
      <w:r w:rsidRPr="006372C5">
        <w:rPr>
          <w:rFonts w:eastAsia="新細明體"/>
          <w:bCs/>
          <w:lang w:eastAsia="zh-TW"/>
        </w:rPr>
        <w:t>Reasons:</w:t>
      </w:r>
    </w:p>
    <w:p w14:paraId="7D515005" w14:textId="77777777" w:rsidR="006372C5" w:rsidRPr="006372C5" w:rsidRDefault="006372C5" w:rsidP="00E272F0">
      <w:pPr>
        <w:numPr>
          <w:ilvl w:val="2"/>
          <w:numId w:val="17"/>
        </w:numPr>
        <w:overflowPunct/>
        <w:autoSpaceDE/>
        <w:autoSpaceDN/>
        <w:adjustRightInd/>
        <w:spacing w:after="240"/>
        <w:ind w:hanging="482"/>
        <w:textAlignment w:val="auto"/>
        <w:rPr>
          <w:rFonts w:eastAsia="新細明體"/>
          <w:bCs/>
          <w:lang w:eastAsia="zh-TW"/>
        </w:rPr>
      </w:pPr>
      <w:r w:rsidRPr="006372C5">
        <w:rPr>
          <w:rFonts w:eastAsia="新細明體"/>
          <w:bCs/>
          <w:lang w:eastAsia="zh-TW"/>
        </w:rPr>
        <w:t>Leverage multi-cluster/segment bandwidth operation without additional scheme</w:t>
      </w:r>
    </w:p>
    <w:p w14:paraId="3377CCA6" w14:textId="77777777" w:rsidR="006372C5" w:rsidRPr="006372C5" w:rsidRDefault="006372C5" w:rsidP="006372C5">
      <w:pPr>
        <w:spacing w:after="120"/>
        <w:jc w:val="center"/>
        <w:textAlignment w:val="auto"/>
        <w:rPr>
          <w:rFonts w:eastAsia="新細明體"/>
          <w:bCs/>
          <w:lang w:eastAsia="zh-TW"/>
        </w:rPr>
      </w:pPr>
      <w:r w:rsidRPr="006372C5">
        <w:rPr>
          <w:rFonts w:eastAsia="新細明體"/>
          <w:noProof/>
          <w:lang w:eastAsia="zh-TW"/>
        </w:rPr>
        <w:drawing>
          <wp:inline distT="0" distB="0" distL="0" distR="0" wp14:anchorId="43BC8D1A" wp14:editId="337DEFF8">
            <wp:extent cx="2874010" cy="1733550"/>
            <wp:effectExtent l="0" t="0" r="2540" b="0"/>
            <wp:docPr id="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4010" cy="1733550"/>
                    </a:xfrm>
                    <a:prstGeom prst="rect">
                      <a:avLst/>
                    </a:prstGeom>
                    <a:noFill/>
                    <a:ln>
                      <a:noFill/>
                    </a:ln>
                  </pic:spPr>
                </pic:pic>
              </a:graphicData>
            </a:graphic>
          </wp:inline>
        </w:drawing>
      </w:r>
    </w:p>
    <w:p w14:paraId="15F2C776" w14:textId="46663DBA" w:rsidR="006372C5" w:rsidRPr="00AF2A65" w:rsidRDefault="00AF2A65" w:rsidP="00AF2A65">
      <w:pPr>
        <w:pStyle w:val="Caption"/>
        <w:jc w:val="center"/>
        <w:rPr>
          <w:b w:val="0"/>
          <w:bCs/>
        </w:rPr>
      </w:pPr>
      <w:r w:rsidRPr="00AF2A65">
        <w:rPr>
          <w:b w:val="0"/>
          <w:bCs/>
        </w:rPr>
        <w:t xml:space="preserve">Figure </w:t>
      </w:r>
      <w:r w:rsidRPr="00AF2A65">
        <w:rPr>
          <w:b w:val="0"/>
          <w:bCs/>
        </w:rPr>
        <w:fldChar w:fldCharType="begin"/>
      </w:r>
      <w:r w:rsidRPr="00AF2A65">
        <w:rPr>
          <w:b w:val="0"/>
          <w:bCs/>
        </w:rPr>
        <w:instrText xml:space="preserve"> SEQ Figure \* ARABIC </w:instrText>
      </w:r>
      <w:r w:rsidRPr="00AF2A65">
        <w:rPr>
          <w:b w:val="0"/>
          <w:bCs/>
        </w:rPr>
        <w:fldChar w:fldCharType="separate"/>
      </w:r>
      <w:r w:rsidR="00482437">
        <w:rPr>
          <w:b w:val="0"/>
          <w:bCs/>
          <w:noProof/>
        </w:rPr>
        <w:t>1</w:t>
      </w:r>
      <w:r w:rsidRPr="00AF2A65">
        <w:rPr>
          <w:b w:val="0"/>
          <w:bCs/>
        </w:rPr>
        <w:fldChar w:fldCharType="end"/>
      </w:r>
      <w:r w:rsidR="006372C5" w:rsidRPr="00AF2A65">
        <w:rPr>
          <w:rFonts w:eastAsia="新細明體"/>
          <w:b w:val="0"/>
          <w:bCs/>
          <w:lang w:eastAsia="zh-TW"/>
        </w:rPr>
        <w:t>. Illustration of bandwidth operation for energy efficiency</w:t>
      </w:r>
    </w:p>
    <w:p w14:paraId="722B8489" w14:textId="0A887D40" w:rsidR="00AF2A65" w:rsidRPr="006372C5" w:rsidRDefault="006372C5" w:rsidP="00AF2A65">
      <w:pPr>
        <w:spacing w:after="120"/>
        <w:jc w:val="center"/>
        <w:textAlignment w:val="auto"/>
        <w:rPr>
          <w:rFonts w:eastAsia="新細明體"/>
          <w:b/>
          <w:lang w:eastAsia="zh-TW"/>
        </w:rPr>
      </w:pPr>
      <w:r w:rsidRPr="006372C5">
        <w:rPr>
          <w:rFonts w:eastAsia="新細明體"/>
          <w:b/>
          <w:noProof/>
          <w:lang w:eastAsia="zh-TW"/>
        </w:rPr>
        <w:drawing>
          <wp:inline distT="0" distB="0" distL="0" distR="0" wp14:anchorId="016BC88D" wp14:editId="1EF97954">
            <wp:extent cx="4678680" cy="997585"/>
            <wp:effectExtent l="0" t="0" r="7620" b="0"/>
            <wp:docPr id="10"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8680" cy="997585"/>
                    </a:xfrm>
                    <a:prstGeom prst="rect">
                      <a:avLst/>
                    </a:prstGeom>
                    <a:noFill/>
                    <a:ln>
                      <a:noFill/>
                    </a:ln>
                  </pic:spPr>
                </pic:pic>
              </a:graphicData>
            </a:graphic>
          </wp:inline>
        </w:drawing>
      </w:r>
    </w:p>
    <w:p w14:paraId="6A49EE5A" w14:textId="13F69688" w:rsidR="006372C5" w:rsidRPr="00AF2A65" w:rsidRDefault="00AF2A65" w:rsidP="00AF2A65">
      <w:pPr>
        <w:pStyle w:val="Caption"/>
        <w:jc w:val="center"/>
        <w:rPr>
          <w:b w:val="0"/>
          <w:bCs/>
        </w:rPr>
      </w:pPr>
      <w:r w:rsidRPr="00AF2A65">
        <w:rPr>
          <w:b w:val="0"/>
          <w:bCs/>
        </w:rPr>
        <w:t xml:space="preserve">Figure </w:t>
      </w:r>
      <w:r w:rsidRPr="00AF2A65">
        <w:rPr>
          <w:b w:val="0"/>
          <w:bCs/>
        </w:rPr>
        <w:fldChar w:fldCharType="begin"/>
      </w:r>
      <w:r w:rsidRPr="00AF2A65">
        <w:rPr>
          <w:b w:val="0"/>
          <w:bCs/>
        </w:rPr>
        <w:instrText xml:space="preserve"> SEQ Figure \* ARABIC </w:instrText>
      </w:r>
      <w:r w:rsidRPr="00AF2A65">
        <w:rPr>
          <w:b w:val="0"/>
          <w:bCs/>
        </w:rPr>
        <w:fldChar w:fldCharType="separate"/>
      </w:r>
      <w:r w:rsidR="00482437">
        <w:rPr>
          <w:b w:val="0"/>
          <w:bCs/>
          <w:noProof/>
        </w:rPr>
        <w:t>2</w:t>
      </w:r>
      <w:r w:rsidRPr="00AF2A65">
        <w:rPr>
          <w:b w:val="0"/>
          <w:bCs/>
        </w:rPr>
        <w:fldChar w:fldCharType="end"/>
      </w:r>
      <w:r w:rsidRPr="00AF2A65">
        <w:rPr>
          <w:rFonts w:eastAsiaTheme="minorEastAsia" w:hint="eastAsia"/>
          <w:b w:val="0"/>
          <w:bCs/>
          <w:lang w:eastAsia="zh-TW"/>
        </w:rPr>
        <w:t xml:space="preserve">. </w:t>
      </w:r>
      <w:r w:rsidR="006372C5" w:rsidRPr="00AF2A65">
        <w:rPr>
          <w:rFonts w:eastAsia="新細明體"/>
          <w:b w:val="0"/>
          <w:bCs/>
          <w:lang w:eastAsia="zh-TW"/>
        </w:rPr>
        <w:t>Illustration of bandwidth operation for SBFD</w:t>
      </w:r>
    </w:p>
    <w:p w14:paraId="3149EA95" w14:textId="3804A15A" w:rsidR="006372C5" w:rsidRPr="006372C5" w:rsidRDefault="00CB25FC" w:rsidP="00CB25FC">
      <w:pPr>
        <w:pStyle w:val="Caption"/>
        <w:rPr>
          <w:rFonts w:eastAsia="新細明體"/>
          <w:b w:val="0"/>
          <w:lang w:eastAsia="zh-TW"/>
        </w:rPr>
      </w:pPr>
      <w:bookmarkStart w:id="1" w:name="_Ref220681787"/>
      <w:r>
        <w:t xml:space="preserve">Observation </w:t>
      </w:r>
      <w:r>
        <w:fldChar w:fldCharType="begin"/>
      </w:r>
      <w:r>
        <w:instrText xml:space="preserve"> SEQ Observation \* ARABIC </w:instrText>
      </w:r>
      <w:r>
        <w:fldChar w:fldCharType="separate"/>
      </w:r>
      <w:r w:rsidR="00482437">
        <w:rPr>
          <w:noProof/>
        </w:rPr>
        <w:t>1</w:t>
      </w:r>
      <w:r>
        <w:fldChar w:fldCharType="end"/>
      </w:r>
      <w:r w:rsidR="006372C5" w:rsidRPr="006372C5">
        <w:rPr>
          <w:rFonts w:eastAsia="新細明體"/>
          <w:lang w:eastAsia="zh-TW"/>
        </w:rPr>
        <w:t>: In existing 5G network, BWP use cases of “numerology change” and “</w:t>
      </w:r>
      <w:r w:rsidR="00FB2C90">
        <w:rPr>
          <w:rFonts w:eastAsia="新細明體"/>
          <w:lang w:eastAsia="zh-TW"/>
        </w:rPr>
        <w:t>full</w:t>
      </w:r>
      <w:r w:rsidR="006372C5" w:rsidRPr="006372C5">
        <w:rPr>
          <w:rFonts w:eastAsia="新細明體"/>
          <w:lang w:eastAsia="zh-TW"/>
        </w:rPr>
        <w:t xml:space="preserve"> RRC configuration switch” are not used.</w:t>
      </w:r>
      <w:bookmarkEnd w:id="1"/>
    </w:p>
    <w:p w14:paraId="7BB92194" w14:textId="6CDC1C9E" w:rsidR="006372C5" w:rsidRPr="006372C5" w:rsidRDefault="00CB25FC" w:rsidP="00CB25FC">
      <w:pPr>
        <w:pStyle w:val="Caption"/>
        <w:rPr>
          <w:rFonts w:eastAsia="新細明體"/>
          <w:b w:val="0"/>
          <w:lang w:eastAsia="zh-TW"/>
        </w:rPr>
      </w:pPr>
      <w:bookmarkStart w:id="2" w:name="_Ref220682041"/>
      <w:r>
        <w:t xml:space="preserve">Proposal </w:t>
      </w:r>
      <w:r>
        <w:fldChar w:fldCharType="begin"/>
      </w:r>
      <w:r>
        <w:instrText xml:space="preserve"> SEQ Proposal \* ARABIC </w:instrText>
      </w:r>
      <w:r>
        <w:fldChar w:fldCharType="separate"/>
      </w:r>
      <w:r w:rsidR="00482437">
        <w:rPr>
          <w:noProof/>
        </w:rPr>
        <w:t>1</w:t>
      </w:r>
      <w:r>
        <w:fldChar w:fldCharType="end"/>
      </w:r>
      <w:r w:rsidR="006372C5" w:rsidRPr="006372C5">
        <w:rPr>
          <w:rFonts w:eastAsia="新細明體"/>
          <w:lang w:eastAsia="zh-TW"/>
        </w:rPr>
        <w:t>: Support bandwidth operation for at least the following use cases in 6GR:</w:t>
      </w:r>
      <w:bookmarkEnd w:id="2"/>
    </w:p>
    <w:p w14:paraId="084A279A" w14:textId="77777777" w:rsidR="006372C5" w:rsidRPr="006372C5" w:rsidRDefault="006372C5" w:rsidP="00E272F0">
      <w:pPr>
        <w:numPr>
          <w:ilvl w:val="0"/>
          <w:numId w:val="18"/>
        </w:numPr>
        <w:spacing w:after="60"/>
        <w:ind w:left="714" w:hanging="357"/>
        <w:textAlignment w:val="auto"/>
        <w:rPr>
          <w:rFonts w:eastAsia="新細明體"/>
          <w:b/>
          <w:lang w:eastAsia="zh-TW"/>
        </w:rPr>
      </w:pPr>
      <w:r w:rsidRPr="006372C5">
        <w:rPr>
          <w:rFonts w:eastAsia="新細明體"/>
          <w:b/>
          <w:lang w:eastAsia="zh-TW"/>
        </w:rPr>
        <w:t xml:space="preserve">Energy saving at both UE and NW sides </w:t>
      </w:r>
    </w:p>
    <w:p w14:paraId="1FDDE3BD" w14:textId="77777777" w:rsidR="006372C5" w:rsidRPr="006372C5" w:rsidRDefault="006372C5" w:rsidP="00E272F0">
      <w:pPr>
        <w:numPr>
          <w:ilvl w:val="0"/>
          <w:numId w:val="18"/>
        </w:numPr>
        <w:spacing w:after="240"/>
        <w:ind w:left="714" w:hanging="357"/>
        <w:textAlignment w:val="auto"/>
        <w:rPr>
          <w:rFonts w:eastAsia="新細明體"/>
          <w:b/>
          <w:lang w:eastAsia="zh-TW"/>
        </w:rPr>
      </w:pPr>
      <w:r w:rsidRPr="006372C5">
        <w:rPr>
          <w:rFonts w:eastAsia="新細明體"/>
          <w:b/>
          <w:lang w:eastAsia="zh-TW"/>
        </w:rPr>
        <w:lastRenderedPageBreak/>
        <w:t>Efficient coexistence of wideband UEs and narrowband UEs within a wideband carrier</w:t>
      </w:r>
    </w:p>
    <w:p w14:paraId="17FFEFE9" w14:textId="79830C9B" w:rsidR="0098152A" w:rsidRPr="006372C5" w:rsidRDefault="00CB25FC" w:rsidP="00CB25FC">
      <w:pPr>
        <w:pStyle w:val="Caption"/>
        <w:rPr>
          <w:rFonts w:eastAsiaTheme="minorEastAsia"/>
          <w:b w:val="0"/>
          <w:lang w:eastAsia="zh-TW"/>
        </w:rPr>
      </w:pPr>
      <w:bookmarkStart w:id="3" w:name="_Ref220682089"/>
      <w:r>
        <w:t xml:space="preserve">Proposal </w:t>
      </w:r>
      <w:r>
        <w:fldChar w:fldCharType="begin"/>
      </w:r>
      <w:r>
        <w:instrText xml:space="preserve"> SEQ Proposal \* ARABIC </w:instrText>
      </w:r>
      <w:r>
        <w:fldChar w:fldCharType="separate"/>
      </w:r>
      <w:r w:rsidR="00482437">
        <w:rPr>
          <w:noProof/>
        </w:rPr>
        <w:t>2</w:t>
      </w:r>
      <w:r>
        <w:fldChar w:fldCharType="end"/>
      </w:r>
      <w:r w:rsidR="006372C5" w:rsidRPr="006372C5">
        <w:rPr>
          <w:rFonts w:eastAsia="新細明體"/>
          <w:lang w:eastAsia="zh-TW"/>
        </w:rPr>
        <w:t>: If SBFD is supported in 6GR, study whether and how bandwidth operation enables SBFD.</w:t>
      </w:r>
      <w:bookmarkEnd w:id="3"/>
    </w:p>
    <w:p w14:paraId="264AAD40" w14:textId="4262BE71" w:rsidR="00C91270" w:rsidRPr="003A47F0" w:rsidRDefault="006D27FD" w:rsidP="00C91270">
      <w:pPr>
        <w:pStyle w:val="Heading1"/>
      </w:pPr>
      <w:r>
        <w:rPr>
          <w:lang w:val="en-US"/>
        </w:rPr>
        <w:t xml:space="preserve">Design </w:t>
      </w:r>
      <w:r w:rsidR="0016336E">
        <w:rPr>
          <w:lang w:val="en-US"/>
        </w:rPr>
        <w:t>Targets for 6GR</w:t>
      </w:r>
      <w:r w:rsidR="008F6B1F">
        <w:rPr>
          <w:lang w:val="en-US"/>
        </w:rPr>
        <w:t xml:space="preserve"> BWP Operation</w:t>
      </w:r>
      <w:r w:rsidR="00BF34E4">
        <w:rPr>
          <w:lang w:val="en-US"/>
        </w:rPr>
        <w:t xml:space="preserve"> </w:t>
      </w:r>
    </w:p>
    <w:p w14:paraId="460EEE5A" w14:textId="06E9ED71" w:rsidR="00944A14" w:rsidRDefault="00944A14" w:rsidP="00944A14">
      <w:pPr>
        <w:spacing w:before="120" w:after="240"/>
        <w:rPr>
          <w:rFonts w:eastAsia="新細明體"/>
          <w:bCs/>
          <w:lang w:eastAsia="zh-TW"/>
        </w:rPr>
      </w:pPr>
      <w:r>
        <w:rPr>
          <w:rFonts w:eastAsia="新細明體"/>
          <w:bCs/>
          <w:lang w:eastAsia="zh-TW"/>
        </w:rPr>
        <w:t>In previous RAN1 meetings, companies have provided lesson</w:t>
      </w:r>
      <w:r w:rsidR="004E07A0">
        <w:rPr>
          <w:rFonts w:eastAsia="新細明體"/>
          <w:bCs/>
          <w:lang w:eastAsia="zh-TW"/>
        </w:rPr>
        <w:t>s</w:t>
      </w:r>
      <w:r>
        <w:rPr>
          <w:rFonts w:eastAsia="新細明體"/>
          <w:bCs/>
          <w:lang w:eastAsia="zh-TW"/>
        </w:rPr>
        <w:t xml:space="preserve"> learn</w:t>
      </w:r>
      <w:r w:rsidR="004E07A0">
        <w:rPr>
          <w:rFonts w:eastAsia="新細明體"/>
          <w:bCs/>
          <w:lang w:eastAsia="zh-TW"/>
        </w:rPr>
        <w:t>ed</w:t>
      </w:r>
      <w:r>
        <w:rPr>
          <w:rFonts w:eastAsia="新細明體"/>
          <w:bCs/>
          <w:lang w:eastAsia="zh-TW"/>
        </w:rPr>
        <w:t xml:space="preserve"> and feature lead summarized them as below.</w:t>
      </w:r>
    </w:p>
    <w:tbl>
      <w:tblPr>
        <w:tblStyle w:val="TableGrid"/>
        <w:tblW w:w="0" w:type="auto"/>
        <w:tblLook w:val="04A0" w:firstRow="1" w:lastRow="0" w:firstColumn="1" w:lastColumn="0" w:noHBand="0" w:noVBand="1"/>
      </w:tblPr>
      <w:tblGrid>
        <w:gridCol w:w="9631"/>
      </w:tblGrid>
      <w:tr w:rsidR="00944A14" w14:paraId="49E2F87D" w14:textId="77777777" w:rsidTr="00944A14">
        <w:tc>
          <w:tcPr>
            <w:tcW w:w="9631" w:type="dxa"/>
            <w:tcBorders>
              <w:top w:val="single" w:sz="4" w:space="0" w:color="auto"/>
              <w:left w:val="single" w:sz="4" w:space="0" w:color="auto"/>
              <w:bottom w:val="single" w:sz="4" w:space="0" w:color="auto"/>
              <w:right w:val="single" w:sz="4" w:space="0" w:color="auto"/>
            </w:tcBorders>
            <w:hideMark/>
          </w:tcPr>
          <w:p w14:paraId="45DAD0BB" w14:textId="77777777" w:rsidR="00944A14" w:rsidRDefault="00944A14">
            <w:pPr>
              <w:rPr>
                <w:rFonts w:ascii="Times New Roman" w:eastAsia="新細明體" w:hAnsi="Times New Roman"/>
                <w:i/>
                <w:iCs/>
                <w:lang w:eastAsia="zh-TW"/>
              </w:rPr>
            </w:pPr>
            <w:r>
              <w:rPr>
                <w:rFonts w:ascii="Times New Roman" w:eastAsia="新細明體" w:hAnsi="Times New Roman"/>
                <w:i/>
                <w:iCs/>
                <w:lang w:eastAsia="zh-TW"/>
              </w:rPr>
              <w:t>The lessons learned from NR BWP framework include, but not limited to</w:t>
            </w:r>
          </w:p>
          <w:p w14:paraId="76866E32" w14:textId="77777777" w:rsidR="00944A14" w:rsidRDefault="00944A14" w:rsidP="00E272F0">
            <w:pPr>
              <w:numPr>
                <w:ilvl w:val="0"/>
                <w:numId w:val="19"/>
              </w:numPr>
              <w:textAlignment w:val="auto"/>
              <w:rPr>
                <w:rFonts w:ascii="Times New Roman" w:eastAsia="新細明體" w:hAnsi="Times New Roman"/>
                <w:i/>
                <w:iCs/>
                <w:lang w:eastAsia="zh-TW"/>
              </w:rPr>
            </w:pPr>
            <w:r>
              <w:rPr>
                <w:rFonts w:ascii="Times New Roman" w:eastAsia="新細明體" w:hAnsi="Times New Roman"/>
                <w:i/>
                <w:iCs/>
                <w:lang w:eastAsia="zh-TW"/>
              </w:rPr>
              <w:t>Excessive BWP-specific BB/RF configuration parameters, which leads to UE long BWP switch latency</w:t>
            </w:r>
          </w:p>
          <w:p w14:paraId="1E3E7352" w14:textId="77777777" w:rsidR="00944A14" w:rsidRDefault="00944A14" w:rsidP="00E272F0">
            <w:pPr>
              <w:numPr>
                <w:ilvl w:val="0"/>
                <w:numId w:val="19"/>
              </w:numPr>
              <w:textAlignment w:val="auto"/>
              <w:rPr>
                <w:rFonts w:ascii="Times New Roman" w:eastAsia="新細明體" w:hAnsi="Times New Roman"/>
                <w:i/>
                <w:iCs/>
                <w:lang w:eastAsia="zh-TW"/>
              </w:rPr>
            </w:pPr>
            <w:r>
              <w:rPr>
                <w:rFonts w:ascii="Times New Roman" w:eastAsia="新細明體" w:hAnsi="Times New Roman"/>
                <w:i/>
                <w:iCs/>
                <w:lang w:eastAsia="zh-TW"/>
              </w:rPr>
              <w:t>SCS switching under BWP framework is complicated</w:t>
            </w:r>
          </w:p>
          <w:p w14:paraId="5CDACDB4" w14:textId="77777777" w:rsidR="00944A14" w:rsidRDefault="00944A14" w:rsidP="00E272F0">
            <w:pPr>
              <w:numPr>
                <w:ilvl w:val="0"/>
                <w:numId w:val="19"/>
              </w:numPr>
              <w:textAlignment w:val="auto"/>
              <w:rPr>
                <w:rFonts w:ascii="Times New Roman" w:eastAsia="新細明體" w:hAnsi="Times New Roman"/>
                <w:i/>
                <w:iCs/>
                <w:lang w:eastAsia="zh-TW"/>
              </w:rPr>
            </w:pPr>
            <w:r>
              <w:rPr>
                <w:rFonts w:ascii="Times New Roman" w:eastAsia="新細明體" w:hAnsi="Times New Roman"/>
                <w:i/>
                <w:iCs/>
                <w:lang w:eastAsia="zh-TW"/>
              </w:rPr>
              <w:t>Some scenarios (e.g. non-overlapped BWPs) where DCI-based BWP switching can have reliability issue</w:t>
            </w:r>
          </w:p>
          <w:p w14:paraId="51126614" w14:textId="77777777" w:rsidR="00944A14" w:rsidRDefault="00944A14" w:rsidP="00E272F0">
            <w:pPr>
              <w:numPr>
                <w:ilvl w:val="0"/>
                <w:numId w:val="19"/>
              </w:numPr>
              <w:textAlignment w:val="auto"/>
              <w:rPr>
                <w:rFonts w:eastAsia="新細明體"/>
                <w:i/>
                <w:iCs/>
                <w:lang w:eastAsia="zh-TW"/>
              </w:rPr>
            </w:pPr>
            <w:r>
              <w:rPr>
                <w:rFonts w:ascii="Times New Roman" w:eastAsia="新細明體" w:hAnsi="Times New Roman"/>
                <w:i/>
                <w:iCs/>
                <w:lang w:eastAsia="zh-TW"/>
              </w:rPr>
              <w:t>Lack of early RAN4 involvement, which caused sub-optimal design</w:t>
            </w:r>
          </w:p>
        </w:tc>
      </w:tr>
    </w:tbl>
    <w:p w14:paraId="2363AA7B" w14:textId="476747C6" w:rsidR="00944A14" w:rsidRDefault="00944A14" w:rsidP="00944A14">
      <w:pPr>
        <w:spacing w:before="240" w:after="120"/>
        <w:rPr>
          <w:rFonts w:eastAsia="新細明體"/>
          <w:lang w:eastAsia="zh-TW"/>
        </w:rPr>
      </w:pPr>
      <w:r>
        <w:rPr>
          <w:rFonts w:eastAsia="新細明體"/>
          <w:lang w:eastAsia="zh-TW"/>
        </w:rPr>
        <w:t>Considering both lesson</w:t>
      </w:r>
      <w:r w:rsidR="00340911">
        <w:rPr>
          <w:rFonts w:eastAsia="新細明體"/>
          <w:lang w:eastAsia="zh-TW"/>
        </w:rPr>
        <w:t>s</w:t>
      </w:r>
      <w:r>
        <w:rPr>
          <w:rFonts w:eastAsia="新細明體"/>
          <w:lang w:eastAsia="zh-TW"/>
        </w:rPr>
        <w:t xml:space="preserve"> learn</w:t>
      </w:r>
      <w:r w:rsidR="00340911">
        <w:rPr>
          <w:rFonts w:eastAsia="新細明體"/>
          <w:lang w:eastAsia="zh-TW"/>
        </w:rPr>
        <w:t>ed</w:t>
      </w:r>
      <w:r>
        <w:rPr>
          <w:rFonts w:eastAsia="新細明體"/>
          <w:lang w:eastAsia="zh-TW"/>
        </w:rPr>
        <w:t xml:space="preserve"> from 5G NR and the target use cases for 6GR, design targets of 6GR bandwidth operation are proposed as below.</w:t>
      </w:r>
    </w:p>
    <w:p w14:paraId="418FE6B5" w14:textId="77777777" w:rsidR="00944A14" w:rsidRDefault="00944A14" w:rsidP="00E272F0">
      <w:pPr>
        <w:numPr>
          <w:ilvl w:val="0"/>
          <w:numId w:val="20"/>
        </w:numPr>
        <w:overflowPunct/>
        <w:autoSpaceDE/>
        <w:adjustRightInd/>
        <w:spacing w:after="60"/>
        <w:ind w:left="766" w:hanging="482"/>
        <w:textAlignment w:val="auto"/>
        <w:rPr>
          <w:rFonts w:eastAsia="新細明體"/>
          <w:lang w:eastAsia="zh-TW"/>
        </w:rPr>
      </w:pPr>
      <w:r>
        <w:rPr>
          <w:rFonts w:eastAsia="新細明體"/>
          <w:lang w:eastAsia="zh-TW"/>
        </w:rPr>
        <w:t xml:space="preserve">Enable </w:t>
      </w:r>
      <w:r>
        <w:rPr>
          <w:rFonts w:eastAsia="新細明體"/>
          <w:b/>
          <w:bCs/>
          <w:lang w:eastAsia="zh-TW"/>
        </w:rPr>
        <w:t>adaptation of bandwidth size, PDCCH monitoring periodicity, max number of MIMO layers, max modulation order, and CSI acquisition</w:t>
      </w:r>
      <w:r>
        <w:rPr>
          <w:rFonts w:eastAsia="新細明體"/>
          <w:lang w:eastAsia="zh-TW"/>
        </w:rPr>
        <w:t xml:space="preserve"> with </w:t>
      </w:r>
      <w:r>
        <w:rPr>
          <w:rFonts w:eastAsia="新細明體"/>
          <w:b/>
          <w:bCs/>
          <w:lang w:eastAsia="zh-TW"/>
        </w:rPr>
        <w:t>shorter switch delay/interruption</w:t>
      </w:r>
      <w:r>
        <w:rPr>
          <w:rFonts w:eastAsia="新細明體"/>
          <w:lang w:eastAsia="zh-TW"/>
        </w:rPr>
        <w:t xml:space="preserve"> for energy saving</w:t>
      </w:r>
    </w:p>
    <w:p w14:paraId="4892862B" w14:textId="77777777" w:rsidR="00944A14" w:rsidRDefault="00944A14" w:rsidP="00E272F0">
      <w:pPr>
        <w:numPr>
          <w:ilvl w:val="0"/>
          <w:numId w:val="20"/>
        </w:numPr>
        <w:overflowPunct/>
        <w:autoSpaceDE/>
        <w:adjustRightInd/>
        <w:spacing w:after="60"/>
        <w:ind w:left="766" w:hanging="482"/>
        <w:textAlignment w:val="auto"/>
        <w:rPr>
          <w:rFonts w:eastAsia="新細明體"/>
          <w:lang w:eastAsia="zh-TW"/>
        </w:rPr>
      </w:pPr>
      <w:r>
        <w:rPr>
          <w:rFonts w:eastAsia="新細明體"/>
          <w:lang w:eastAsia="zh-TW"/>
        </w:rPr>
        <w:t xml:space="preserve">Enable </w:t>
      </w:r>
      <w:r>
        <w:rPr>
          <w:rFonts w:eastAsia="新細明體"/>
          <w:b/>
          <w:bCs/>
          <w:lang w:eastAsia="zh-TW"/>
        </w:rPr>
        <w:t xml:space="preserve">network load balancing </w:t>
      </w:r>
      <w:r>
        <w:rPr>
          <w:rFonts w:eastAsia="新細明體"/>
          <w:lang w:eastAsia="zh-TW"/>
        </w:rPr>
        <w:t>via center frequency change for narrowband UEs within a wideband carrier (e.g. active BWP w/o SSB)</w:t>
      </w:r>
    </w:p>
    <w:p w14:paraId="38320659" w14:textId="77777777" w:rsidR="00944A14" w:rsidRDefault="00944A14" w:rsidP="00E272F0">
      <w:pPr>
        <w:numPr>
          <w:ilvl w:val="0"/>
          <w:numId w:val="20"/>
        </w:numPr>
        <w:overflowPunct/>
        <w:autoSpaceDE/>
        <w:adjustRightInd/>
        <w:spacing w:after="60"/>
        <w:ind w:left="766" w:hanging="482"/>
        <w:textAlignment w:val="auto"/>
        <w:rPr>
          <w:rFonts w:eastAsia="新細明體"/>
          <w:lang w:eastAsia="zh-TW"/>
        </w:rPr>
      </w:pPr>
      <w:r>
        <w:rPr>
          <w:rFonts w:eastAsia="新細明體"/>
          <w:lang w:eastAsia="zh-TW"/>
        </w:rPr>
        <w:t xml:space="preserve">Enable </w:t>
      </w:r>
      <w:r>
        <w:rPr>
          <w:rFonts w:eastAsia="新細明體"/>
          <w:b/>
          <w:bCs/>
          <w:lang w:eastAsia="zh-TW"/>
        </w:rPr>
        <w:t>unified bandwidth operation</w:t>
      </w:r>
      <w:r>
        <w:rPr>
          <w:rFonts w:eastAsia="新細明體"/>
          <w:lang w:eastAsia="zh-TW"/>
        </w:rPr>
        <w:t xml:space="preserve"> for all device types during </w:t>
      </w:r>
      <w:r>
        <w:rPr>
          <w:rFonts w:eastAsia="新細明體"/>
          <w:b/>
          <w:bCs/>
          <w:lang w:eastAsia="zh-TW"/>
        </w:rPr>
        <w:t>initial access</w:t>
      </w:r>
    </w:p>
    <w:p w14:paraId="722A5F4B" w14:textId="77777777" w:rsidR="00944A14" w:rsidRDefault="00944A14" w:rsidP="00E272F0">
      <w:pPr>
        <w:numPr>
          <w:ilvl w:val="0"/>
          <w:numId w:val="20"/>
        </w:numPr>
        <w:overflowPunct/>
        <w:autoSpaceDE/>
        <w:adjustRightInd/>
        <w:spacing w:after="60"/>
        <w:ind w:left="766" w:hanging="482"/>
        <w:textAlignment w:val="auto"/>
        <w:rPr>
          <w:rFonts w:eastAsia="新細明體"/>
          <w:lang w:eastAsia="zh-TW"/>
        </w:rPr>
      </w:pPr>
      <w:r>
        <w:rPr>
          <w:rFonts w:eastAsia="新細明體"/>
          <w:lang w:eastAsia="zh-TW"/>
        </w:rPr>
        <w:t xml:space="preserve">Enable </w:t>
      </w:r>
      <w:r>
        <w:rPr>
          <w:rFonts w:eastAsia="新細明體"/>
          <w:b/>
          <w:bCs/>
          <w:lang w:eastAsia="zh-TW"/>
        </w:rPr>
        <w:t>lean BB/RF RRC configuration update</w:t>
      </w:r>
      <w:r>
        <w:rPr>
          <w:rFonts w:eastAsia="新細明體"/>
          <w:lang w:eastAsia="zh-TW"/>
        </w:rPr>
        <w:t xml:space="preserve"> during bandwidth adaptation (e.g. no BWP-specific numerology, lightweight BWP-specific RRC configuration)</w:t>
      </w:r>
    </w:p>
    <w:p w14:paraId="5E96ADB7" w14:textId="77777777" w:rsidR="00944A14" w:rsidRDefault="00944A14" w:rsidP="00E272F0">
      <w:pPr>
        <w:numPr>
          <w:ilvl w:val="0"/>
          <w:numId w:val="20"/>
        </w:numPr>
        <w:overflowPunct/>
        <w:autoSpaceDE/>
        <w:adjustRightInd/>
        <w:spacing w:after="60"/>
        <w:ind w:left="766" w:hanging="482"/>
        <w:textAlignment w:val="auto"/>
        <w:rPr>
          <w:rFonts w:eastAsia="新細明體"/>
          <w:lang w:eastAsia="zh-TW"/>
        </w:rPr>
      </w:pPr>
      <w:r>
        <w:rPr>
          <w:rFonts w:eastAsia="新細明體"/>
          <w:lang w:eastAsia="zh-TW"/>
        </w:rPr>
        <w:t xml:space="preserve">Enable </w:t>
      </w:r>
      <w:r>
        <w:rPr>
          <w:rFonts w:eastAsia="新細明體"/>
          <w:b/>
          <w:bCs/>
          <w:lang w:eastAsia="zh-TW"/>
        </w:rPr>
        <w:t>robust bandwidth operation</w:t>
      </w:r>
      <w:r>
        <w:rPr>
          <w:rFonts w:eastAsia="新細明體"/>
          <w:lang w:eastAsia="zh-TW"/>
        </w:rPr>
        <w:t xml:space="preserve"> (e.g. robust signaling for bandwidth switch, fast recovery when bandwidth switch fails)</w:t>
      </w:r>
    </w:p>
    <w:p w14:paraId="55932DDB" w14:textId="77777777" w:rsidR="00944A14" w:rsidRDefault="00944A14" w:rsidP="00E272F0">
      <w:pPr>
        <w:numPr>
          <w:ilvl w:val="0"/>
          <w:numId w:val="20"/>
        </w:numPr>
        <w:overflowPunct/>
        <w:autoSpaceDE/>
        <w:adjustRightInd/>
        <w:spacing w:after="240"/>
        <w:ind w:left="766" w:hanging="482"/>
        <w:textAlignment w:val="auto"/>
        <w:rPr>
          <w:rFonts w:eastAsia="新細明體"/>
          <w:lang w:eastAsia="zh-TW"/>
        </w:rPr>
      </w:pPr>
      <w:r>
        <w:rPr>
          <w:rFonts w:eastAsia="新細明體"/>
          <w:lang w:eastAsia="zh-TW"/>
        </w:rPr>
        <w:t xml:space="preserve">Enable </w:t>
      </w:r>
      <w:r>
        <w:rPr>
          <w:rFonts w:eastAsia="新細明體"/>
          <w:b/>
          <w:bCs/>
          <w:lang w:eastAsia="zh-TW"/>
        </w:rPr>
        <w:t>efficient bandwidth operation</w:t>
      </w:r>
      <w:r>
        <w:rPr>
          <w:rFonts w:eastAsia="新細明體"/>
          <w:lang w:eastAsia="zh-TW"/>
        </w:rPr>
        <w:t>, considering CA, multi-carrier cell, UL/DL decoupling, UL/DL carrier switch, MIMO and SBFD</w:t>
      </w:r>
    </w:p>
    <w:p w14:paraId="0A530560" w14:textId="56A80922" w:rsidR="00944A14" w:rsidRDefault="0057501C" w:rsidP="0057501C">
      <w:pPr>
        <w:pStyle w:val="Caption"/>
        <w:rPr>
          <w:rFonts w:eastAsia="新細明體"/>
          <w:b w:val="0"/>
          <w:lang w:eastAsia="zh-TW"/>
        </w:rPr>
      </w:pPr>
      <w:bookmarkStart w:id="4" w:name="_Ref220681795"/>
      <w:r>
        <w:t xml:space="preserve">Observation </w:t>
      </w:r>
      <w:r>
        <w:fldChar w:fldCharType="begin"/>
      </w:r>
      <w:r>
        <w:instrText xml:space="preserve"> SEQ Observation \* ARABIC </w:instrText>
      </w:r>
      <w:r>
        <w:fldChar w:fldCharType="separate"/>
      </w:r>
      <w:r w:rsidR="00482437">
        <w:rPr>
          <w:noProof/>
        </w:rPr>
        <w:t>2</w:t>
      </w:r>
      <w:r>
        <w:fldChar w:fldCharType="end"/>
      </w:r>
      <w:r w:rsidR="00944A14">
        <w:rPr>
          <w:rFonts w:eastAsia="新細明體"/>
          <w:lang w:eastAsia="zh-TW"/>
        </w:rPr>
        <w:t>: The lessons learned from NR BWP framework include, but not limited to</w:t>
      </w:r>
      <w:bookmarkEnd w:id="4"/>
    </w:p>
    <w:p w14:paraId="2E01ED0C" w14:textId="77777777" w:rsidR="00944A14" w:rsidRDefault="00944A14" w:rsidP="00E272F0">
      <w:pPr>
        <w:numPr>
          <w:ilvl w:val="0"/>
          <w:numId w:val="19"/>
        </w:numPr>
        <w:spacing w:after="60"/>
        <w:ind w:left="442" w:hanging="442"/>
        <w:textAlignment w:val="auto"/>
        <w:rPr>
          <w:rFonts w:eastAsia="新細明體"/>
          <w:b/>
          <w:lang w:eastAsia="zh-TW"/>
        </w:rPr>
      </w:pPr>
      <w:r>
        <w:rPr>
          <w:rFonts w:eastAsia="新細明體"/>
          <w:b/>
          <w:lang w:eastAsia="zh-TW"/>
        </w:rPr>
        <w:t>Excessive BWP-specific BB/RF configuration parameters, which leads to UE long BWP switch latency</w:t>
      </w:r>
    </w:p>
    <w:p w14:paraId="1AEFAF8A" w14:textId="77777777" w:rsidR="00944A14" w:rsidRDefault="00944A14" w:rsidP="00E272F0">
      <w:pPr>
        <w:numPr>
          <w:ilvl w:val="0"/>
          <w:numId w:val="19"/>
        </w:numPr>
        <w:spacing w:after="60"/>
        <w:ind w:left="442" w:hanging="442"/>
        <w:textAlignment w:val="auto"/>
        <w:rPr>
          <w:rFonts w:eastAsia="新細明體"/>
          <w:b/>
          <w:lang w:eastAsia="zh-TW"/>
        </w:rPr>
      </w:pPr>
      <w:r>
        <w:rPr>
          <w:rFonts w:eastAsia="新細明體"/>
          <w:b/>
          <w:lang w:eastAsia="zh-TW"/>
        </w:rPr>
        <w:t>SCS switching under BWP framework is complicated</w:t>
      </w:r>
    </w:p>
    <w:p w14:paraId="782E143A" w14:textId="77F8E9C6" w:rsidR="00944A14" w:rsidRDefault="004B4E51" w:rsidP="00E272F0">
      <w:pPr>
        <w:numPr>
          <w:ilvl w:val="0"/>
          <w:numId w:val="19"/>
        </w:numPr>
        <w:spacing w:after="60"/>
        <w:ind w:left="442" w:hanging="442"/>
        <w:textAlignment w:val="auto"/>
        <w:rPr>
          <w:rFonts w:eastAsia="新細明體"/>
          <w:b/>
          <w:lang w:eastAsia="zh-TW"/>
        </w:rPr>
      </w:pPr>
      <w:r>
        <w:rPr>
          <w:rFonts w:eastAsia="新細明體"/>
          <w:b/>
          <w:lang w:eastAsia="zh-TW"/>
        </w:rPr>
        <w:t>Reliability of DCI-based BWP switching in s</w:t>
      </w:r>
      <w:r w:rsidR="00944A14">
        <w:rPr>
          <w:rFonts w:eastAsia="新細明體"/>
          <w:b/>
          <w:lang w:eastAsia="zh-TW"/>
        </w:rPr>
        <w:t>ome scenarios (e.g. non-overlapped BWPs)</w:t>
      </w:r>
    </w:p>
    <w:p w14:paraId="1ACADFC5" w14:textId="77777777" w:rsidR="00944A14" w:rsidRDefault="00944A14" w:rsidP="00E272F0">
      <w:pPr>
        <w:numPr>
          <w:ilvl w:val="0"/>
          <w:numId w:val="19"/>
        </w:numPr>
        <w:spacing w:after="240"/>
        <w:ind w:left="442" w:hanging="442"/>
        <w:textAlignment w:val="auto"/>
        <w:rPr>
          <w:rFonts w:eastAsia="新細明體"/>
          <w:b/>
          <w:lang w:eastAsia="zh-TW"/>
        </w:rPr>
      </w:pPr>
      <w:r>
        <w:rPr>
          <w:rFonts w:eastAsia="新細明體"/>
          <w:b/>
          <w:lang w:eastAsia="zh-TW"/>
        </w:rPr>
        <w:t>Lack of early RAN4 involvement, which caused sub-optimal design</w:t>
      </w:r>
    </w:p>
    <w:p w14:paraId="73F75537" w14:textId="5E0602FB" w:rsidR="00944A14" w:rsidRDefault="00891B86" w:rsidP="00891B86">
      <w:pPr>
        <w:pStyle w:val="Caption"/>
        <w:rPr>
          <w:rFonts w:eastAsia="新細明體"/>
          <w:b w:val="0"/>
          <w:lang w:val="en-GB" w:eastAsia="zh-TW"/>
        </w:rPr>
      </w:pPr>
      <w:bookmarkStart w:id="5" w:name="_Ref220682101"/>
      <w:r>
        <w:t xml:space="preserve">Proposal </w:t>
      </w:r>
      <w:r>
        <w:fldChar w:fldCharType="begin"/>
      </w:r>
      <w:r>
        <w:instrText xml:space="preserve"> SEQ Proposal \* ARABIC </w:instrText>
      </w:r>
      <w:r>
        <w:fldChar w:fldCharType="separate"/>
      </w:r>
      <w:r w:rsidR="00482437">
        <w:rPr>
          <w:noProof/>
        </w:rPr>
        <w:t>3</w:t>
      </w:r>
      <w:r>
        <w:fldChar w:fldCharType="end"/>
      </w:r>
      <w:r w:rsidR="00944A14">
        <w:t>:</w:t>
      </w:r>
      <w:r w:rsidR="00944A14">
        <w:rPr>
          <w:rFonts w:eastAsia="新細明體"/>
          <w:lang w:val="en-GB" w:eastAsia="zh-TW"/>
        </w:rPr>
        <w:t xml:space="preserve"> Study the related specification impacts for the following design targets of bandwidth operation in 6GR.</w:t>
      </w:r>
      <w:bookmarkEnd w:id="5"/>
    </w:p>
    <w:p w14:paraId="728D1836" w14:textId="77777777" w:rsidR="00944A14" w:rsidRDefault="00944A14" w:rsidP="00E272F0">
      <w:pPr>
        <w:numPr>
          <w:ilvl w:val="0"/>
          <w:numId w:val="21"/>
        </w:numPr>
        <w:overflowPunct/>
        <w:autoSpaceDE/>
        <w:adjustRightInd/>
        <w:spacing w:after="60"/>
        <w:ind w:left="714" w:hanging="357"/>
        <w:textAlignment w:val="auto"/>
        <w:rPr>
          <w:rFonts w:eastAsia="新細明體"/>
          <w:b/>
          <w:bCs/>
          <w:lang w:val="en-GB" w:eastAsia="zh-TW"/>
        </w:rPr>
      </w:pPr>
      <w:r>
        <w:rPr>
          <w:rFonts w:eastAsia="新細明體"/>
          <w:b/>
          <w:bCs/>
          <w:lang w:eastAsia="zh-TW"/>
        </w:rPr>
        <w:t>Adaptation of bandwidth size, PDCCH monitoring periodicity, max number of MIMO layers, max modulation order, and CSI acquisition with shorter delay/interruption</w:t>
      </w:r>
    </w:p>
    <w:p w14:paraId="29E6CBED" w14:textId="77777777" w:rsidR="00944A14" w:rsidRDefault="00944A14" w:rsidP="00E272F0">
      <w:pPr>
        <w:numPr>
          <w:ilvl w:val="0"/>
          <w:numId w:val="21"/>
        </w:numPr>
        <w:overflowPunct/>
        <w:autoSpaceDE/>
        <w:adjustRightInd/>
        <w:spacing w:after="60"/>
        <w:ind w:left="714" w:hanging="357"/>
        <w:textAlignment w:val="auto"/>
        <w:rPr>
          <w:rFonts w:eastAsia="新細明體"/>
          <w:b/>
          <w:bCs/>
          <w:lang w:val="en-GB" w:eastAsia="zh-TW"/>
        </w:rPr>
      </w:pPr>
      <w:r>
        <w:rPr>
          <w:rFonts w:eastAsia="新細明體"/>
          <w:b/>
          <w:bCs/>
          <w:lang w:eastAsia="zh-TW"/>
        </w:rPr>
        <w:t>Network load balancing via center frequency change for narrowband UEs within a wideband carrier</w:t>
      </w:r>
    </w:p>
    <w:p w14:paraId="162A03C3" w14:textId="77777777" w:rsidR="00944A14" w:rsidRDefault="00944A14" w:rsidP="00E272F0">
      <w:pPr>
        <w:numPr>
          <w:ilvl w:val="0"/>
          <w:numId w:val="21"/>
        </w:numPr>
        <w:overflowPunct/>
        <w:autoSpaceDE/>
        <w:adjustRightInd/>
        <w:spacing w:after="60"/>
        <w:ind w:left="714" w:hanging="357"/>
        <w:textAlignment w:val="auto"/>
        <w:rPr>
          <w:rFonts w:eastAsia="新細明體"/>
          <w:b/>
          <w:bCs/>
          <w:lang w:val="en-GB" w:eastAsia="zh-TW"/>
        </w:rPr>
      </w:pPr>
      <w:r>
        <w:rPr>
          <w:rFonts w:eastAsia="新細明體"/>
          <w:b/>
          <w:bCs/>
          <w:lang w:val="en-GB" w:eastAsia="zh-TW"/>
        </w:rPr>
        <w:t>Unified bandwidth operation for all device types during initial access</w:t>
      </w:r>
    </w:p>
    <w:p w14:paraId="64DF2050" w14:textId="77777777" w:rsidR="00944A14" w:rsidRDefault="00944A14" w:rsidP="00E272F0">
      <w:pPr>
        <w:numPr>
          <w:ilvl w:val="0"/>
          <w:numId w:val="21"/>
        </w:numPr>
        <w:overflowPunct/>
        <w:autoSpaceDE/>
        <w:adjustRightInd/>
        <w:spacing w:after="60"/>
        <w:ind w:left="714" w:hanging="357"/>
        <w:textAlignment w:val="auto"/>
        <w:rPr>
          <w:rFonts w:eastAsia="新細明體"/>
          <w:b/>
          <w:bCs/>
          <w:lang w:val="en-GB" w:eastAsia="zh-TW"/>
        </w:rPr>
      </w:pPr>
      <w:r>
        <w:rPr>
          <w:rFonts w:eastAsia="新細明體"/>
          <w:b/>
          <w:bCs/>
          <w:lang w:eastAsia="zh-TW"/>
        </w:rPr>
        <w:t>Lean BB/RF RRC configuration update during bandwidth adaptation</w:t>
      </w:r>
    </w:p>
    <w:p w14:paraId="5EE77A0C" w14:textId="77777777" w:rsidR="00944A14" w:rsidRDefault="00944A14" w:rsidP="00E272F0">
      <w:pPr>
        <w:numPr>
          <w:ilvl w:val="0"/>
          <w:numId w:val="21"/>
        </w:numPr>
        <w:overflowPunct/>
        <w:autoSpaceDE/>
        <w:adjustRightInd/>
        <w:spacing w:after="60"/>
        <w:ind w:left="714" w:hanging="357"/>
        <w:textAlignment w:val="auto"/>
        <w:rPr>
          <w:rFonts w:eastAsia="新細明體"/>
          <w:b/>
          <w:bCs/>
          <w:lang w:val="en-GB" w:eastAsia="zh-TW"/>
        </w:rPr>
      </w:pPr>
      <w:r>
        <w:rPr>
          <w:rFonts w:eastAsia="新細明體"/>
          <w:b/>
          <w:bCs/>
          <w:lang w:eastAsia="zh-TW"/>
        </w:rPr>
        <w:t>Robust bandwidth operation, including robust signaling for bandwidth switch and fast recovery when bandwidth switch fails</w:t>
      </w:r>
    </w:p>
    <w:p w14:paraId="577DE1E0" w14:textId="7361A518" w:rsidR="00275370" w:rsidRPr="0043190E" w:rsidRDefault="00944A14" w:rsidP="00E272F0">
      <w:pPr>
        <w:numPr>
          <w:ilvl w:val="0"/>
          <w:numId w:val="21"/>
        </w:numPr>
        <w:overflowPunct/>
        <w:autoSpaceDE/>
        <w:adjustRightInd/>
        <w:spacing w:after="240"/>
        <w:ind w:left="714" w:hanging="357"/>
        <w:textAlignment w:val="auto"/>
        <w:rPr>
          <w:rFonts w:eastAsia="新細明體"/>
          <w:b/>
          <w:bCs/>
          <w:lang w:val="en-GB" w:eastAsia="zh-TW"/>
        </w:rPr>
      </w:pPr>
      <w:r>
        <w:rPr>
          <w:rFonts w:eastAsia="新細明體"/>
          <w:b/>
          <w:bCs/>
          <w:lang w:eastAsia="zh-TW"/>
        </w:rPr>
        <w:t>Efficient bandwidth operation, considering CA, multi-carrier cell, UL/DL decoupling, UL/DL carrier switch, MIMO and SBFD</w:t>
      </w:r>
    </w:p>
    <w:p w14:paraId="43AABEFC" w14:textId="2086C532" w:rsidR="00E418B3" w:rsidRPr="003D12D5" w:rsidRDefault="00275370" w:rsidP="00E418B3">
      <w:pPr>
        <w:pStyle w:val="Heading1"/>
        <w:rPr>
          <w:rFonts w:eastAsiaTheme="minorEastAsia"/>
          <w:lang w:eastAsia="zh-TW"/>
        </w:rPr>
      </w:pPr>
      <w:r>
        <w:rPr>
          <w:rFonts w:eastAsiaTheme="minorEastAsia"/>
          <w:lang w:eastAsia="zh-TW"/>
        </w:rPr>
        <w:t>BWP Operation in Initial Access</w:t>
      </w:r>
    </w:p>
    <w:p w14:paraId="70168AA9" w14:textId="70B645AE" w:rsidR="00E418B3" w:rsidRPr="00E418B3" w:rsidRDefault="00E418B3" w:rsidP="00E418B3">
      <w:pPr>
        <w:rPr>
          <w:lang w:eastAsia="zh-TW"/>
        </w:rPr>
      </w:pPr>
      <w:r>
        <w:rPr>
          <w:lang w:eastAsia="zh-TW"/>
        </w:rPr>
        <w:t>At RAN1#123 meeting, the following agreement</w:t>
      </w:r>
      <w:r w:rsidR="00A46BD1">
        <w:rPr>
          <w:lang w:eastAsia="zh-TW"/>
        </w:rPr>
        <w:t>s</w:t>
      </w:r>
      <w:r>
        <w:rPr>
          <w:lang w:eastAsia="zh-TW"/>
        </w:rPr>
        <w:t xml:space="preserve"> </w:t>
      </w:r>
      <w:r w:rsidR="00A46BD1">
        <w:rPr>
          <w:lang w:eastAsia="zh-TW"/>
        </w:rPr>
        <w:t>were</w:t>
      </w:r>
      <w:r>
        <w:rPr>
          <w:lang w:eastAsia="zh-TW"/>
        </w:rPr>
        <w:t xml:space="preserve"> made in the 6GR Overview agenda item. </w:t>
      </w:r>
    </w:p>
    <w:tbl>
      <w:tblPr>
        <w:tblStyle w:val="TableGrid"/>
        <w:tblW w:w="0" w:type="auto"/>
        <w:tblLook w:val="04A0" w:firstRow="1" w:lastRow="0" w:firstColumn="1" w:lastColumn="0" w:noHBand="0" w:noVBand="1"/>
      </w:tblPr>
      <w:tblGrid>
        <w:gridCol w:w="9631"/>
      </w:tblGrid>
      <w:tr w:rsidR="00E418B3" w14:paraId="7F096B30" w14:textId="77777777" w:rsidTr="00E418B3">
        <w:tc>
          <w:tcPr>
            <w:tcW w:w="9631" w:type="dxa"/>
          </w:tcPr>
          <w:p w14:paraId="55EF6E36" w14:textId="77777777" w:rsidR="00E418B3" w:rsidRPr="00E418B3" w:rsidRDefault="00E418B3" w:rsidP="00E418B3">
            <w:pPr>
              <w:rPr>
                <w:rFonts w:ascii="Times New Roman" w:hAnsi="Times New Roman"/>
                <w:b/>
                <w:bCs/>
                <w:lang w:eastAsia="zh-TW"/>
              </w:rPr>
            </w:pPr>
            <w:r w:rsidRPr="00E418B3">
              <w:rPr>
                <w:rFonts w:ascii="Times New Roman" w:hAnsi="Times New Roman"/>
                <w:b/>
                <w:bCs/>
                <w:highlight w:val="green"/>
                <w:lang w:eastAsia="zh-TW"/>
              </w:rPr>
              <w:lastRenderedPageBreak/>
              <w:t>Agreement</w:t>
            </w:r>
          </w:p>
          <w:p w14:paraId="5D63ECED" w14:textId="77777777" w:rsidR="00E418B3" w:rsidRPr="00E418B3" w:rsidRDefault="00E418B3" w:rsidP="00E272F0">
            <w:pPr>
              <w:numPr>
                <w:ilvl w:val="0"/>
                <w:numId w:val="22"/>
              </w:numPr>
              <w:rPr>
                <w:rFonts w:ascii="Times New Roman" w:hAnsi="Times New Roman"/>
                <w:lang w:eastAsia="zh-TW"/>
              </w:rPr>
            </w:pPr>
            <w:r w:rsidRPr="00E418B3">
              <w:rPr>
                <w:rFonts w:ascii="Times New Roman" w:hAnsi="Times New Roman"/>
                <w:lang w:eastAsia="zh-TW"/>
              </w:rPr>
              <w:t>For scalable 6GR design for diverse device types, RAN1 can at least consider the following, targeting applicable to all 6G device types,</w:t>
            </w:r>
          </w:p>
          <w:p w14:paraId="5D851BBC" w14:textId="77777777" w:rsidR="00E418B3" w:rsidRPr="00E418B3" w:rsidRDefault="00E418B3" w:rsidP="00E272F0">
            <w:pPr>
              <w:numPr>
                <w:ilvl w:val="1"/>
                <w:numId w:val="22"/>
              </w:numPr>
              <w:rPr>
                <w:rFonts w:ascii="Times New Roman" w:hAnsi="Times New Roman"/>
                <w:highlight w:val="green"/>
                <w:lang w:eastAsia="zh-TW"/>
              </w:rPr>
            </w:pPr>
            <w:r w:rsidRPr="00E418B3">
              <w:rPr>
                <w:rFonts w:ascii="Times New Roman" w:hAnsi="Times New Roman"/>
                <w:highlight w:val="green"/>
                <w:lang w:eastAsia="zh-TW"/>
              </w:rPr>
              <w:t>Basic initial access procedures from RAN1 perspective</w:t>
            </w:r>
          </w:p>
          <w:p w14:paraId="5685DAC1" w14:textId="77777777" w:rsidR="00E418B3" w:rsidRPr="00E418B3" w:rsidRDefault="00E418B3" w:rsidP="00E272F0">
            <w:pPr>
              <w:numPr>
                <w:ilvl w:val="1"/>
                <w:numId w:val="22"/>
              </w:numPr>
              <w:rPr>
                <w:rFonts w:ascii="Times New Roman" w:hAnsi="Times New Roman"/>
                <w:lang w:eastAsia="zh-TW"/>
              </w:rPr>
            </w:pPr>
            <w:r w:rsidRPr="00E418B3">
              <w:rPr>
                <w:rFonts w:ascii="Times New Roman" w:hAnsi="Times New Roman"/>
                <w:lang w:eastAsia="zh-TW"/>
              </w:rPr>
              <w:t>Other PHY features after initial access procedure, e.g., Other DL/UL control, scheduling/HARQ</w:t>
            </w:r>
          </w:p>
          <w:p w14:paraId="682607AF" w14:textId="77777777" w:rsidR="00E418B3" w:rsidRPr="00E418B3" w:rsidRDefault="00E418B3" w:rsidP="00E272F0">
            <w:pPr>
              <w:numPr>
                <w:ilvl w:val="1"/>
                <w:numId w:val="22"/>
              </w:numPr>
              <w:rPr>
                <w:rFonts w:ascii="Times New Roman" w:hAnsi="Times New Roman"/>
                <w:lang w:eastAsia="zh-TW"/>
              </w:rPr>
            </w:pPr>
            <w:r w:rsidRPr="00E418B3">
              <w:rPr>
                <w:rFonts w:ascii="Times New Roman" w:hAnsi="Times New Roman"/>
                <w:lang w:eastAsia="zh-TW"/>
              </w:rPr>
              <w:t>Coverage features to meet the identified coverage target</w:t>
            </w:r>
          </w:p>
          <w:p w14:paraId="1601C228" w14:textId="77777777" w:rsidR="00E418B3" w:rsidRPr="00E418B3" w:rsidRDefault="00E418B3" w:rsidP="00E272F0">
            <w:pPr>
              <w:numPr>
                <w:ilvl w:val="1"/>
                <w:numId w:val="22"/>
              </w:numPr>
              <w:rPr>
                <w:rFonts w:ascii="Times New Roman" w:hAnsi="Times New Roman"/>
                <w:lang w:eastAsia="zh-TW"/>
              </w:rPr>
            </w:pPr>
            <w:r w:rsidRPr="00E418B3">
              <w:rPr>
                <w:rFonts w:ascii="Times New Roman" w:hAnsi="Times New Roman"/>
                <w:lang w:eastAsia="zh-TW"/>
              </w:rPr>
              <w:t>Energy saving both at BS and UE sides</w:t>
            </w:r>
          </w:p>
          <w:p w14:paraId="5C823C7D" w14:textId="77777777" w:rsidR="00E418B3" w:rsidRPr="00E418B3" w:rsidRDefault="00E418B3" w:rsidP="00E272F0">
            <w:pPr>
              <w:numPr>
                <w:ilvl w:val="1"/>
                <w:numId w:val="22"/>
              </w:numPr>
              <w:rPr>
                <w:rFonts w:ascii="Times New Roman" w:hAnsi="Times New Roman"/>
                <w:lang w:eastAsia="zh-TW"/>
              </w:rPr>
            </w:pPr>
            <w:r w:rsidRPr="00E418B3">
              <w:rPr>
                <w:rFonts w:ascii="Times New Roman" w:hAnsi="Times New Roman"/>
                <w:lang w:eastAsia="zh-TW"/>
              </w:rPr>
              <w:t>MRSS</w:t>
            </w:r>
          </w:p>
          <w:p w14:paraId="2B01CC5A" w14:textId="6782D385" w:rsidR="0084183F" w:rsidRPr="005F3F97" w:rsidRDefault="00E418B3" w:rsidP="005F3F97">
            <w:pPr>
              <w:numPr>
                <w:ilvl w:val="1"/>
                <w:numId w:val="22"/>
              </w:numPr>
              <w:rPr>
                <w:rFonts w:ascii="Times New Roman" w:hAnsi="Times New Roman"/>
                <w:lang w:eastAsia="zh-TW"/>
              </w:rPr>
            </w:pPr>
            <w:r w:rsidRPr="00E418B3">
              <w:rPr>
                <w:rFonts w:ascii="Times New Roman" w:hAnsi="Times New Roman"/>
                <w:lang w:eastAsia="zh-TW"/>
              </w:rPr>
              <w:t>Note: whether these features are supported, mandatory or optional is separate discussion</w:t>
            </w:r>
          </w:p>
        </w:tc>
      </w:tr>
    </w:tbl>
    <w:p w14:paraId="7B438550" w14:textId="77777777" w:rsidR="00A62B24" w:rsidRDefault="00A62B24" w:rsidP="00304DBE">
      <w:pPr>
        <w:rPr>
          <w:rFonts w:eastAsia="新細明體"/>
          <w:lang w:eastAsia="zh-TW"/>
        </w:rPr>
      </w:pPr>
    </w:p>
    <w:p w14:paraId="16B224CC" w14:textId="42CE313B" w:rsidR="00304DBE" w:rsidRPr="00304DBE" w:rsidRDefault="00304DBE" w:rsidP="00304DBE">
      <w:pPr>
        <w:rPr>
          <w:rFonts w:eastAsia="新細明體"/>
          <w:lang w:eastAsia="zh-TW"/>
        </w:rPr>
      </w:pPr>
      <w:r w:rsidRPr="00304DBE">
        <w:rPr>
          <w:rFonts w:eastAsia="新細明體"/>
          <w:lang w:eastAsia="zh-TW"/>
        </w:rPr>
        <w:t>As we transition from 5G NR to 6G, the diversity of device capabilities is expected to expand exponentially</w:t>
      </w:r>
      <w:r>
        <w:rPr>
          <w:rFonts w:eastAsia="新細明體"/>
          <w:lang w:eastAsia="zh-TW"/>
        </w:rPr>
        <w:t xml:space="preserve"> – </w:t>
      </w:r>
      <w:r w:rsidRPr="00304DBE">
        <w:rPr>
          <w:rFonts w:eastAsia="新細明體"/>
          <w:lang w:eastAsia="zh-TW"/>
        </w:rPr>
        <w:t xml:space="preserve">ranging from Terabit-capable holographic interfaces to </w:t>
      </w:r>
      <w:r>
        <w:rPr>
          <w:rFonts w:eastAsia="新細明體"/>
          <w:lang w:eastAsia="zh-TW"/>
        </w:rPr>
        <w:t>low-end</w:t>
      </w:r>
      <w:r w:rsidRPr="00304DBE">
        <w:rPr>
          <w:rFonts w:eastAsia="新細明體"/>
          <w:lang w:eastAsia="zh-TW"/>
        </w:rPr>
        <w:t xml:space="preserve"> IoT </w:t>
      </w:r>
      <w:r>
        <w:rPr>
          <w:rFonts w:eastAsia="新細明體"/>
          <w:lang w:eastAsia="zh-TW"/>
        </w:rPr>
        <w:t>devices</w:t>
      </w:r>
      <w:r w:rsidRPr="00304DBE">
        <w:rPr>
          <w:rFonts w:eastAsia="新細明體"/>
          <w:lang w:eastAsia="zh-TW"/>
        </w:rPr>
        <w:t>. However, to maximize the economy of scale and minimize market fragmentation, the 6G Radio Interface (6GR) must prioritize a scalable device design. A core tenet of this scalability is the standardization of "common design" elements.</w:t>
      </w:r>
    </w:p>
    <w:p w14:paraId="169D2606" w14:textId="4B3A6E6A" w:rsidR="00304DBE" w:rsidRDefault="00304DBE" w:rsidP="00304DBE">
      <w:pPr>
        <w:rPr>
          <w:rFonts w:eastAsia="新細明體"/>
          <w:lang w:eastAsia="zh-TW"/>
        </w:rPr>
      </w:pPr>
      <w:r w:rsidRPr="00304DBE">
        <w:rPr>
          <w:rFonts w:eastAsia="新細明體"/>
          <w:lang w:eastAsia="zh-TW"/>
        </w:rPr>
        <w:t>We posit that the Initial Access procedure should be a universal commonality. The network should not be burdened with distinguishing between device types (e.g., eMBB vs. IoT) before a connection is established. Therefore, 6GR should strive for a unified initial access procedure utilizing a common operating bandwidth supported by all 6G devices.</w:t>
      </w:r>
    </w:p>
    <w:p w14:paraId="658BAFF0" w14:textId="7A4A2212" w:rsidR="00304DBE" w:rsidRDefault="00BB6095" w:rsidP="00BB6095">
      <w:pPr>
        <w:pStyle w:val="Caption"/>
        <w:rPr>
          <w:rFonts w:eastAsia="新細明體"/>
          <w:lang w:eastAsia="zh-TW"/>
        </w:rPr>
      </w:pPr>
      <w:bookmarkStart w:id="6" w:name="_Ref220682129"/>
      <w:r>
        <w:t xml:space="preserve">Proposal </w:t>
      </w:r>
      <w:r>
        <w:fldChar w:fldCharType="begin"/>
      </w:r>
      <w:r>
        <w:instrText xml:space="preserve"> SEQ Proposal \* ARABIC </w:instrText>
      </w:r>
      <w:r>
        <w:fldChar w:fldCharType="separate"/>
      </w:r>
      <w:r w:rsidR="00482437">
        <w:rPr>
          <w:noProof/>
        </w:rPr>
        <w:t>4</w:t>
      </w:r>
      <w:r>
        <w:fldChar w:fldCharType="end"/>
      </w:r>
      <w:r w:rsidR="00304DBE" w:rsidRPr="00304DBE">
        <w:rPr>
          <w:rFonts w:eastAsia="新細明體"/>
          <w:lang w:eastAsia="zh-TW"/>
        </w:rPr>
        <w:t>: 6GR strives for the same initial access procedure and identical initial operating bandwidth for all devices, eliminating fragmentation at the system entry point.</w:t>
      </w:r>
      <w:bookmarkEnd w:id="6"/>
    </w:p>
    <w:p w14:paraId="6CCEBEB8" w14:textId="77777777" w:rsidR="00946414" w:rsidRDefault="00946414" w:rsidP="009A7BB8">
      <w:pPr>
        <w:rPr>
          <w:rFonts w:eastAsia="新細明體"/>
          <w:lang w:eastAsia="zh-TW"/>
        </w:rPr>
      </w:pPr>
    </w:p>
    <w:p w14:paraId="26EE6F5F" w14:textId="2B5EBEE9" w:rsidR="00304DBE" w:rsidRDefault="00574929" w:rsidP="009A7BB8">
      <w:pPr>
        <w:rPr>
          <w:rFonts w:eastAsia="新細明體"/>
          <w:lang w:eastAsia="zh-TW"/>
        </w:rPr>
      </w:pPr>
      <w:r w:rsidRPr="00574929">
        <w:rPr>
          <w:rFonts w:eastAsia="新細明體"/>
          <w:lang w:eastAsia="zh-TW"/>
        </w:rPr>
        <w:t>In 5G NR, the concept of Bandwidth Parts (BWP) allowed devices to operate in narrower bandwidths than the system carrier. Moving forward to 6G, the Initial DL and UL BWPs remain the ideal mechanism for defining operating bandwidths during initial access and idle mode, primarily for UE power saving. However, the definition mechanism requires strict standardization to ensure universality.</w:t>
      </w:r>
    </w:p>
    <w:p w14:paraId="617D1F82" w14:textId="77777777" w:rsidR="006D2490" w:rsidRPr="006D2490" w:rsidRDefault="006D2490" w:rsidP="006D2490">
      <w:pPr>
        <w:rPr>
          <w:rFonts w:eastAsia="新細明體"/>
          <w:lang w:eastAsia="zh-TW"/>
        </w:rPr>
      </w:pPr>
      <w:r w:rsidRPr="006D2490">
        <w:rPr>
          <w:rFonts w:eastAsia="新細明體"/>
          <w:lang w:eastAsia="zh-TW"/>
        </w:rPr>
        <w:t>In our view, the Initial DL BWP should primarily be defined by the Master Information Block (MIB), adhering to the principles established in NR where the UE assumes the Initial DL BWP frequency range is identical to CORESET#0.</w:t>
      </w:r>
    </w:p>
    <w:p w14:paraId="182E9AEA" w14:textId="1137C9E8" w:rsidR="006D2490" w:rsidRDefault="006D2490" w:rsidP="006D2490">
      <w:pPr>
        <w:rPr>
          <w:rFonts w:eastAsia="新細明體"/>
          <w:lang w:eastAsia="zh-TW"/>
        </w:rPr>
      </w:pPr>
      <w:r w:rsidRPr="006D2490">
        <w:rPr>
          <w:rFonts w:eastAsia="新細明體"/>
          <w:lang w:eastAsia="zh-TW"/>
        </w:rPr>
        <w:t>Regarding the configuration mechanism, while the legacy NR approach allows for a SIB1-configured Initial DL BWP to override the MIB-defined parameters, we argue that 6G should prioritize a simpler, MIB-defined structure. The introduction of a distinct SIB-configured Initial DL BWP adds architectural complexity and should only be considered if there is a stringent justification—</w:t>
      </w:r>
      <w:r w:rsidR="00115A55">
        <w:rPr>
          <w:rFonts w:eastAsia="新細明體"/>
          <w:lang w:eastAsia="zh-TW"/>
        </w:rPr>
        <w:t>for example</w:t>
      </w:r>
      <w:r w:rsidRPr="006D2490">
        <w:rPr>
          <w:rFonts w:eastAsia="新細明體"/>
          <w:lang w:eastAsia="zh-TW"/>
        </w:rPr>
        <w:t xml:space="preserve">, if the capacity for Paging Occasions (POs) within the MIB-defined bandwidth becomes a critical bottleneck. Unless such congestion or load-balancing issues around the SSB are proven to be unmanageable, the 6G framework should avoid this layer of complexity. Furthermore, strictly adhering to the 'unified access' principle, if a SIB-configured BWP is deemed necessary, its bandwidth is subject to an inviolable constraint: it must not exceed the RF capability of the lowest-tier device class (e.g., 6G IoT </w:t>
      </w:r>
      <w:r w:rsidR="007461DC">
        <w:rPr>
          <w:rFonts w:eastAsia="新細明體"/>
          <w:lang w:eastAsia="zh-TW"/>
        </w:rPr>
        <w:t>devices</w:t>
      </w:r>
      <w:r w:rsidRPr="006D2490">
        <w:rPr>
          <w:rFonts w:eastAsia="新細明體"/>
          <w:lang w:eastAsia="zh-TW"/>
        </w:rPr>
        <w:t>). Any configuration that pushes the Initial BWP beyond this minimum capability introduces market fragmentation and defeats the purpose of a device-agnostic initial access design.</w:t>
      </w:r>
    </w:p>
    <w:p w14:paraId="56288478" w14:textId="0295D5DC" w:rsidR="008C3AAB" w:rsidRPr="008C3AAB" w:rsidRDefault="008C3AAB" w:rsidP="008C3AAB">
      <w:pPr>
        <w:rPr>
          <w:rFonts w:eastAsia="新細明體"/>
          <w:lang w:eastAsia="zh-TW"/>
        </w:rPr>
      </w:pPr>
      <w:r w:rsidRPr="008C3AAB">
        <w:rPr>
          <w:rFonts w:eastAsia="新細明體"/>
          <w:lang w:eastAsia="zh-TW"/>
        </w:rPr>
        <w:t>To understand the 6G requirement, we must analyze the evolution of Reduced Capability (RedCap) devices in NR Rel-17. In Rel-17, a "separate" Initial DL BWP—potentially without SSB/CORESET#0—was proposed for RedCap UEs. This was driven by two factors:</w:t>
      </w:r>
    </w:p>
    <w:p w14:paraId="2E939E33" w14:textId="77777777" w:rsidR="004B53D7" w:rsidRPr="005E793D" w:rsidRDefault="008C3AAB" w:rsidP="00E272F0">
      <w:pPr>
        <w:pStyle w:val="ListParagraph"/>
        <w:numPr>
          <w:ilvl w:val="0"/>
          <w:numId w:val="23"/>
        </w:numPr>
        <w:ind w:firstLineChars="0"/>
        <w:rPr>
          <w:rFonts w:eastAsia="新細明體"/>
          <w:sz w:val="20"/>
          <w:szCs w:val="20"/>
          <w:lang w:eastAsia="zh-TW"/>
        </w:rPr>
      </w:pPr>
      <w:r w:rsidRPr="005E793D">
        <w:rPr>
          <w:rFonts w:eastAsia="新細明體"/>
          <w:sz w:val="20"/>
          <w:szCs w:val="20"/>
          <w:lang w:eastAsia="zh-TW"/>
        </w:rPr>
        <w:t>Bandwidth Mismatch: The legacy SIB1-configured Initial BWPs for eMBB devices were often 100 MHz, exceeding the 20 MHz limit of RedCap.</w:t>
      </w:r>
    </w:p>
    <w:p w14:paraId="16DBBA59" w14:textId="719CFC9A" w:rsidR="008C3AAB" w:rsidRPr="005E793D" w:rsidRDefault="008C3AAB" w:rsidP="00E272F0">
      <w:pPr>
        <w:pStyle w:val="ListParagraph"/>
        <w:numPr>
          <w:ilvl w:val="0"/>
          <w:numId w:val="23"/>
        </w:numPr>
        <w:ind w:firstLineChars="0"/>
        <w:rPr>
          <w:rFonts w:eastAsia="新細明體"/>
          <w:sz w:val="20"/>
          <w:szCs w:val="20"/>
          <w:lang w:eastAsia="zh-TW"/>
        </w:rPr>
      </w:pPr>
      <w:r w:rsidRPr="005E793D">
        <w:rPr>
          <w:rFonts w:eastAsia="新細明體"/>
          <w:sz w:val="20"/>
          <w:szCs w:val="20"/>
          <w:lang w:eastAsia="zh-TW"/>
        </w:rPr>
        <w:t>Resource Fragmentation &amp; TDD Alignment: There was a desire to push PRACH occasions to the edge of wideband carriers to avoid fragmenting uplink resources. However, due to the legacy restriction requiring Center Frequency Alignment between DL and UL BWPs in TDD, this forced the creation of separate DL BWPs aligned with those edge UL resources.</w:t>
      </w:r>
    </w:p>
    <w:p w14:paraId="6C2F776C" w14:textId="77777777" w:rsidR="004B53D7" w:rsidRDefault="004B53D7" w:rsidP="008C3AAB">
      <w:pPr>
        <w:rPr>
          <w:rFonts w:eastAsia="新細明體"/>
          <w:lang w:eastAsia="zh-TW"/>
        </w:rPr>
      </w:pPr>
    </w:p>
    <w:p w14:paraId="476037A9" w14:textId="48A19C44" w:rsidR="008C3AAB" w:rsidRPr="008C3AAB" w:rsidRDefault="008C3AAB" w:rsidP="008C3AAB">
      <w:pPr>
        <w:rPr>
          <w:rFonts w:eastAsia="新細明體"/>
          <w:lang w:eastAsia="zh-TW"/>
        </w:rPr>
      </w:pPr>
      <w:r w:rsidRPr="008C3AAB">
        <w:rPr>
          <w:rFonts w:eastAsia="新細明體"/>
          <w:lang w:eastAsia="zh-TW"/>
        </w:rPr>
        <w:t xml:space="preserve">In 6G, if we successfully design initial access to be device-agnostic, the need for a "separate" Initial DL BWP evaporates. If the standard Initial BWP is capped at the IoT capability (e.g., 5 MHz or 20 MHz), both eMBB and IoT </w:t>
      </w:r>
      <w:r w:rsidRPr="008C3AAB">
        <w:rPr>
          <w:rFonts w:eastAsia="新細明體"/>
          <w:lang w:eastAsia="zh-TW"/>
        </w:rPr>
        <w:lastRenderedPageBreak/>
        <w:t>devices can share it. Furthermore, by removing the restriction on Center Frequency Alignment for DL and UL BWP pairs in TDD, we eliminate the second motivation for separate BWPs. The Initial DL BWP can remain centralized containing the Cell-Defining SSB (CD-SSB), while the Initial UL BWP can be placed flexibly in the spectrum.</w:t>
      </w:r>
    </w:p>
    <w:p w14:paraId="7C686419" w14:textId="514435CB" w:rsidR="006D2490" w:rsidRDefault="008C3AAB" w:rsidP="008C3AAB">
      <w:pPr>
        <w:rPr>
          <w:rFonts w:eastAsia="新細明體"/>
          <w:lang w:eastAsia="zh-TW"/>
        </w:rPr>
      </w:pPr>
      <w:r w:rsidRPr="008C3AAB">
        <w:rPr>
          <w:rFonts w:eastAsia="新細明體"/>
          <w:lang w:eastAsia="zh-TW"/>
        </w:rPr>
        <w:t>Consequently, in 6GR, the Initial DL BWP should always include SSB and CORESET#0. Unlike the split approach in NR, the 6G Initial DL BWP should serve as the single home for Initial Access, Random Access, and Paging Monitoring for all device tiers.</w:t>
      </w:r>
    </w:p>
    <w:p w14:paraId="29FA4168" w14:textId="241930F0" w:rsidR="002A3356" w:rsidRDefault="002A3356" w:rsidP="008C3AAB">
      <w:pPr>
        <w:rPr>
          <w:rFonts w:eastAsia="新細明體"/>
          <w:lang w:eastAsia="zh-TW"/>
        </w:rPr>
      </w:pPr>
      <w:r w:rsidRPr="002A3356">
        <w:rPr>
          <w:rFonts w:eastAsia="新細明體"/>
          <w:lang w:eastAsia="zh-TW"/>
        </w:rPr>
        <w:t>The configuration of the Initial UL BWP must mirror the universality of the DL. It must contain the necessary PRACH occasions and potentially resources for Uplink Wake-Up Signals (UL-WUS) to support extreme power saving.</w:t>
      </w:r>
    </w:p>
    <w:p w14:paraId="1AF08EFB" w14:textId="77777777" w:rsidR="00FE66DF" w:rsidRPr="00FE66DF" w:rsidRDefault="00FE66DF" w:rsidP="00FE66DF">
      <w:pPr>
        <w:rPr>
          <w:rFonts w:eastAsia="新細明體"/>
          <w:lang w:eastAsia="zh-TW"/>
        </w:rPr>
      </w:pPr>
      <w:r w:rsidRPr="00FE66DF">
        <w:rPr>
          <w:rFonts w:eastAsia="新細明體"/>
          <w:lang w:eastAsia="zh-TW"/>
        </w:rPr>
        <w:t>To ensure forward compatibility, the design of the Initial BWP must be robust enough to support the emerging network topologies and operational paradigms anticipated for 6G. We highlight three specific scenarios that warrant further investigation:</w:t>
      </w:r>
    </w:p>
    <w:p w14:paraId="19A9E936" w14:textId="77777777" w:rsidR="00FE66DF" w:rsidRPr="00FE66DF" w:rsidRDefault="00FE66DF" w:rsidP="00E272F0">
      <w:pPr>
        <w:numPr>
          <w:ilvl w:val="0"/>
          <w:numId w:val="24"/>
        </w:numPr>
        <w:rPr>
          <w:rFonts w:eastAsia="新細明體"/>
          <w:lang w:eastAsia="zh-TW"/>
        </w:rPr>
      </w:pPr>
      <w:r w:rsidRPr="00FE66DF">
        <w:rPr>
          <w:rFonts w:eastAsia="新細明體"/>
          <w:lang w:eastAsia="zh-TW"/>
        </w:rPr>
        <w:t>On-Demand SIB1 (OD-SIB1): In Network Energy Saving (NES) deployments or "Green Network" scenarios, cells may suppress periodic SIB1 broadcasts to conserve power. Uplink Wake-Up Signals (UL-WUS) have been proposed as a mechanism to trigger On-Demand SIB1 transmission. Consequently, the integration of UL-WUS resources within the Initial UL BWP requires careful evaluation to ensure UEs can request system information prior to full cell configuration.</w:t>
      </w:r>
    </w:p>
    <w:p w14:paraId="26646EAC" w14:textId="77777777" w:rsidR="00FE66DF" w:rsidRPr="00FE66DF" w:rsidRDefault="00FE66DF" w:rsidP="00E272F0">
      <w:pPr>
        <w:numPr>
          <w:ilvl w:val="0"/>
          <w:numId w:val="24"/>
        </w:numPr>
        <w:rPr>
          <w:rFonts w:eastAsia="新細明體"/>
          <w:lang w:eastAsia="zh-TW"/>
        </w:rPr>
      </w:pPr>
      <w:r w:rsidRPr="00FE66DF">
        <w:rPr>
          <w:rFonts w:eastAsia="新細明體"/>
          <w:lang w:eastAsia="zh-TW"/>
        </w:rPr>
        <w:t>DL/UL Decoupling: 6G architectures may natively decouple Downlink and Uplink Transmission Points (TRPs). The study must assess the transparency of this physical separation during the initial access phase and determine the necessary configuration mechanisms for Initial DL and UL BWPs when they are served by distinct sites or beams.</w:t>
      </w:r>
    </w:p>
    <w:p w14:paraId="75F67CD8" w14:textId="77777777" w:rsidR="00FE66DF" w:rsidRDefault="00FE66DF" w:rsidP="00E272F0">
      <w:pPr>
        <w:numPr>
          <w:ilvl w:val="0"/>
          <w:numId w:val="24"/>
        </w:numPr>
        <w:rPr>
          <w:rFonts w:eastAsia="新細明體"/>
          <w:lang w:eastAsia="zh-TW"/>
        </w:rPr>
      </w:pPr>
      <w:r w:rsidRPr="00FE66DF">
        <w:rPr>
          <w:rFonts w:eastAsia="新細明體"/>
          <w:lang w:eastAsia="zh-TW"/>
        </w:rPr>
        <w:t>Multi-Carrier Cells: To reduce UE complexity and signaling overhead, 6G may introduce logical cells that span disjoint spectrum fragments, contingent upon strict synchronization and deployment conditions. This raises critical questions regarding the locus of the initial access procedure—specifically, whether RACH is confined to designated "anchor" carriers. As the definition of multi-carrier cells matures, its specific impact on the pairing and definition of Initial DL/UL BWPs must be rigorously evaluated.</w:t>
      </w:r>
    </w:p>
    <w:p w14:paraId="525C352D" w14:textId="77777777" w:rsidR="00C324E6" w:rsidRPr="00FE66DF" w:rsidRDefault="00C324E6" w:rsidP="009B311B">
      <w:pPr>
        <w:rPr>
          <w:rFonts w:eastAsia="新細明體"/>
          <w:lang w:eastAsia="zh-TW"/>
        </w:rPr>
      </w:pPr>
    </w:p>
    <w:p w14:paraId="221A625A" w14:textId="75C25BA0" w:rsidR="00C324E6" w:rsidRPr="00C324E6" w:rsidRDefault="00DA5B82" w:rsidP="00DA5B82">
      <w:pPr>
        <w:pStyle w:val="Caption"/>
        <w:rPr>
          <w:rFonts w:eastAsia="新細明體"/>
          <w:lang w:eastAsia="zh-TW"/>
        </w:rPr>
      </w:pPr>
      <w:bookmarkStart w:id="7" w:name="_Ref220682143"/>
      <w:bookmarkStart w:id="8" w:name="_Ref220682228"/>
      <w:r>
        <w:t xml:space="preserve">Proposal </w:t>
      </w:r>
      <w:r>
        <w:fldChar w:fldCharType="begin"/>
      </w:r>
      <w:r>
        <w:instrText xml:space="preserve"> SEQ Proposal \* ARABIC </w:instrText>
      </w:r>
      <w:r>
        <w:fldChar w:fldCharType="separate"/>
      </w:r>
      <w:r w:rsidR="00482437">
        <w:rPr>
          <w:noProof/>
        </w:rPr>
        <w:t>5</w:t>
      </w:r>
      <w:r>
        <w:fldChar w:fldCharType="end"/>
      </w:r>
      <w:r w:rsidR="00C324E6" w:rsidRPr="00C324E6">
        <w:rPr>
          <w:rFonts w:eastAsia="新細明體"/>
          <w:bCs/>
          <w:lang w:eastAsia="zh-TW"/>
        </w:rPr>
        <w:t xml:space="preserve">: </w:t>
      </w:r>
      <w:r w:rsidR="00503EBB" w:rsidRPr="00503EBB">
        <w:rPr>
          <w:rFonts w:eastAsia="新細明體"/>
          <w:bCs/>
          <w:lang w:eastAsia="zh-TW"/>
        </w:rPr>
        <w:t>Study how to support initial DL</w:t>
      </w:r>
      <w:r w:rsidR="00503EBB">
        <w:rPr>
          <w:rFonts w:eastAsia="新細明體"/>
          <w:bCs/>
          <w:lang w:eastAsia="zh-TW"/>
        </w:rPr>
        <w:t>/UL</w:t>
      </w:r>
      <w:r w:rsidR="00503EBB" w:rsidRPr="00503EBB">
        <w:rPr>
          <w:rFonts w:eastAsia="新細明體"/>
          <w:bCs/>
          <w:lang w:eastAsia="zh-TW"/>
        </w:rPr>
        <w:t xml:space="preserve"> BWP</w:t>
      </w:r>
      <w:r w:rsidR="00503EBB">
        <w:rPr>
          <w:rFonts w:eastAsia="新細明體"/>
          <w:bCs/>
          <w:lang w:eastAsia="zh-TW"/>
        </w:rPr>
        <w:t>s</w:t>
      </w:r>
      <w:r w:rsidR="00503EBB" w:rsidRPr="00503EBB">
        <w:rPr>
          <w:rFonts w:eastAsia="新細明體"/>
          <w:bCs/>
          <w:lang w:eastAsia="zh-TW"/>
        </w:rPr>
        <w:t xml:space="preserve"> at least for initial access and idle mode, considering the following aspects</w:t>
      </w:r>
      <w:bookmarkEnd w:id="7"/>
      <w:r w:rsidR="00A92C70">
        <w:rPr>
          <w:rFonts w:eastAsia="新細明體"/>
          <w:bCs/>
          <w:lang w:eastAsia="zh-TW"/>
        </w:rPr>
        <w:t>:</w:t>
      </w:r>
      <w:bookmarkEnd w:id="8"/>
    </w:p>
    <w:p w14:paraId="693BEA2A" w14:textId="77777777" w:rsidR="00C324E6" w:rsidRPr="00C324E6" w:rsidRDefault="00C324E6" w:rsidP="00E272F0">
      <w:pPr>
        <w:numPr>
          <w:ilvl w:val="0"/>
          <w:numId w:val="25"/>
        </w:numPr>
        <w:rPr>
          <w:rFonts w:eastAsia="新細明體"/>
          <w:lang w:eastAsia="zh-TW"/>
        </w:rPr>
      </w:pPr>
      <w:r w:rsidRPr="00C324E6">
        <w:rPr>
          <w:rFonts w:eastAsia="新細明體"/>
          <w:b/>
          <w:bCs/>
          <w:lang w:eastAsia="zh-TW"/>
        </w:rPr>
        <w:t>Coexistence of eMBB and IoT devices:</w:t>
      </w:r>
    </w:p>
    <w:p w14:paraId="3A93346F" w14:textId="77777777" w:rsidR="00C324E6" w:rsidRPr="00C324E6" w:rsidRDefault="00C324E6" w:rsidP="00E272F0">
      <w:pPr>
        <w:numPr>
          <w:ilvl w:val="1"/>
          <w:numId w:val="25"/>
        </w:numPr>
        <w:rPr>
          <w:rFonts w:eastAsia="新細明體"/>
          <w:lang w:eastAsia="zh-TW"/>
        </w:rPr>
      </w:pPr>
      <w:r w:rsidRPr="00C324E6">
        <w:rPr>
          <w:rFonts w:eastAsia="新細明體"/>
          <w:lang w:eastAsia="zh-TW"/>
        </w:rPr>
        <w:t>Mandating that the bandwidth of the Initial BWPs be strictly capped at the minimum RF capability of the lowest targeted device class (e.g., 6G IoT/Sensor devices).</w:t>
      </w:r>
    </w:p>
    <w:p w14:paraId="3C4F64BC" w14:textId="07908AE8" w:rsidR="00C324E6" w:rsidRPr="00C324E6" w:rsidRDefault="00C324E6" w:rsidP="00E272F0">
      <w:pPr>
        <w:numPr>
          <w:ilvl w:val="0"/>
          <w:numId w:val="25"/>
        </w:numPr>
        <w:rPr>
          <w:rFonts w:eastAsia="新細明體"/>
          <w:lang w:eastAsia="zh-TW"/>
        </w:rPr>
      </w:pPr>
      <w:r w:rsidRPr="00C324E6">
        <w:rPr>
          <w:rFonts w:eastAsia="新細明體"/>
          <w:b/>
          <w:bCs/>
          <w:lang w:eastAsia="zh-TW"/>
        </w:rPr>
        <w:t xml:space="preserve">Initial DL BWP </w:t>
      </w:r>
      <w:r w:rsidR="00503EBB">
        <w:rPr>
          <w:rFonts w:eastAsia="新細明體"/>
          <w:b/>
          <w:bCs/>
          <w:lang w:eastAsia="zh-TW"/>
        </w:rPr>
        <w:t>definition/configuration</w:t>
      </w:r>
      <w:r w:rsidRPr="00C324E6">
        <w:rPr>
          <w:rFonts w:eastAsia="新細明體"/>
          <w:b/>
          <w:bCs/>
          <w:lang w:eastAsia="zh-TW"/>
        </w:rPr>
        <w:t>:</w:t>
      </w:r>
    </w:p>
    <w:p w14:paraId="4CD8550A" w14:textId="77777777" w:rsidR="00C324E6" w:rsidRPr="00C324E6" w:rsidRDefault="00C324E6" w:rsidP="00E272F0">
      <w:pPr>
        <w:numPr>
          <w:ilvl w:val="1"/>
          <w:numId w:val="25"/>
        </w:numPr>
        <w:rPr>
          <w:rFonts w:eastAsia="新細明體"/>
          <w:lang w:eastAsia="zh-TW"/>
        </w:rPr>
      </w:pPr>
      <w:r w:rsidRPr="00C324E6">
        <w:rPr>
          <w:rFonts w:eastAsia="新細明體"/>
          <w:lang w:eastAsia="zh-TW"/>
        </w:rPr>
        <w:t>Evaluation of MIB-defined (CORESET#0 based) versus SIB-configured approaches, with a preference for MIB-defined unless paging capacity necessitates expansion.</w:t>
      </w:r>
    </w:p>
    <w:p w14:paraId="22434B2F" w14:textId="77777777" w:rsidR="00C324E6" w:rsidRPr="00C324E6" w:rsidRDefault="00C324E6" w:rsidP="00E272F0">
      <w:pPr>
        <w:numPr>
          <w:ilvl w:val="1"/>
          <w:numId w:val="25"/>
        </w:numPr>
        <w:rPr>
          <w:rFonts w:eastAsia="新細明體"/>
          <w:lang w:eastAsia="zh-TW"/>
        </w:rPr>
      </w:pPr>
      <w:r w:rsidRPr="00C324E6">
        <w:rPr>
          <w:rFonts w:eastAsia="新細明體"/>
          <w:lang w:eastAsia="zh-TW"/>
        </w:rPr>
        <w:t>Mandatory inclusion of SSB, CORESET#0, essential SIBs (SIB1), and Paging Occasions to ensure a unified idle mode camp.</w:t>
      </w:r>
    </w:p>
    <w:p w14:paraId="0AA808CB" w14:textId="77777777" w:rsidR="00C324E6" w:rsidRPr="00C324E6" w:rsidRDefault="00C324E6" w:rsidP="00E272F0">
      <w:pPr>
        <w:numPr>
          <w:ilvl w:val="0"/>
          <w:numId w:val="25"/>
        </w:numPr>
        <w:rPr>
          <w:rFonts w:eastAsia="新細明體"/>
          <w:lang w:eastAsia="zh-TW"/>
        </w:rPr>
      </w:pPr>
      <w:r w:rsidRPr="00C324E6">
        <w:rPr>
          <w:rFonts w:eastAsia="新細明體"/>
          <w:b/>
          <w:bCs/>
          <w:lang w:eastAsia="zh-TW"/>
        </w:rPr>
        <w:t>Initial UL BWP Configuration:</w:t>
      </w:r>
    </w:p>
    <w:p w14:paraId="6B66087E" w14:textId="77777777" w:rsidR="00C324E6" w:rsidRPr="00C324E6" w:rsidRDefault="00C324E6" w:rsidP="00E272F0">
      <w:pPr>
        <w:numPr>
          <w:ilvl w:val="1"/>
          <w:numId w:val="25"/>
        </w:numPr>
        <w:rPr>
          <w:rFonts w:eastAsia="新細明體"/>
          <w:lang w:eastAsia="zh-TW"/>
        </w:rPr>
      </w:pPr>
      <w:r w:rsidRPr="00C324E6">
        <w:rPr>
          <w:rFonts w:eastAsia="新細明體"/>
          <w:lang w:eastAsia="zh-TW"/>
        </w:rPr>
        <w:t>Inclusion of UL-WUS and PRACH occasions.</w:t>
      </w:r>
    </w:p>
    <w:p w14:paraId="4460C52E" w14:textId="6C2CFDCE" w:rsidR="00C324E6" w:rsidRPr="00C324E6" w:rsidRDefault="00C324E6" w:rsidP="00E272F0">
      <w:pPr>
        <w:numPr>
          <w:ilvl w:val="1"/>
          <w:numId w:val="25"/>
        </w:numPr>
        <w:rPr>
          <w:rFonts w:eastAsia="新細明體"/>
          <w:lang w:eastAsia="zh-TW"/>
        </w:rPr>
      </w:pPr>
      <w:r w:rsidRPr="00C324E6">
        <w:rPr>
          <w:rFonts w:eastAsia="新細明體"/>
          <w:lang w:eastAsia="zh-TW"/>
        </w:rPr>
        <w:t>Pairing mechanisms between Initial DL and UL BWPs specifically for the Random Access procedure.</w:t>
      </w:r>
    </w:p>
    <w:p w14:paraId="4F7955D8" w14:textId="77777777" w:rsidR="00C324E6" w:rsidRPr="00C324E6" w:rsidRDefault="00C324E6" w:rsidP="00E272F0">
      <w:pPr>
        <w:numPr>
          <w:ilvl w:val="0"/>
          <w:numId w:val="25"/>
        </w:numPr>
        <w:rPr>
          <w:rFonts w:eastAsia="新細明體"/>
          <w:lang w:eastAsia="zh-TW"/>
        </w:rPr>
      </w:pPr>
      <w:r w:rsidRPr="00C324E6">
        <w:rPr>
          <w:rFonts w:eastAsia="新細明體"/>
          <w:b/>
          <w:bCs/>
          <w:lang w:eastAsia="zh-TW"/>
        </w:rPr>
        <w:t>Configuration Constraints:</w:t>
      </w:r>
    </w:p>
    <w:p w14:paraId="7CDF1B07" w14:textId="77777777" w:rsidR="00C324E6" w:rsidRPr="00C324E6" w:rsidRDefault="00C324E6" w:rsidP="00E272F0">
      <w:pPr>
        <w:numPr>
          <w:ilvl w:val="1"/>
          <w:numId w:val="25"/>
        </w:numPr>
        <w:rPr>
          <w:rFonts w:eastAsia="新細明體"/>
          <w:lang w:eastAsia="zh-TW"/>
        </w:rPr>
      </w:pPr>
      <w:r w:rsidRPr="00C324E6">
        <w:rPr>
          <w:rFonts w:eastAsia="新細明體"/>
          <w:lang w:eastAsia="zh-TW"/>
        </w:rPr>
        <w:t>Removal of the Center Frequency Alignment restriction in TDD to allow flexible resource placement without separate BWPs.</w:t>
      </w:r>
    </w:p>
    <w:p w14:paraId="161CDA66" w14:textId="77777777" w:rsidR="00C324E6" w:rsidRPr="00C324E6" w:rsidRDefault="00C324E6" w:rsidP="00E272F0">
      <w:pPr>
        <w:numPr>
          <w:ilvl w:val="1"/>
          <w:numId w:val="25"/>
        </w:numPr>
        <w:rPr>
          <w:rFonts w:eastAsia="新細明體"/>
          <w:lang w:eastAsia="zh-TW"/>
        </w:rPr>
      </w:pPr>
      <w:r w:rsidRPr="00C324E6">
        <w:rPr>
          <w:rFonts w:eastAsia="新細明體"/>
          <w:lang w:eastAsia="zh-TW"/>
        </w:rPr>
        <w:t>Bandwidth limits derived from the minimum of all UEs’ maximum bandwidths.</w:t>
      </w:r>
    </w:p>
    <w:p w14:paraId="6BF34276" w14:textId="77777777" w:rsidR="00C324E6" w:rsidRPr="00C324E6" w:rsidRDefault="00C324E6" w:rsidP="00E272F0">
      <w:pPr>
        <w:numPr>
          <w:ilvl w:val="0"/>
          <w:numId w:val="25"/>
        </w:numPr>
        <w:rPr>
          <w:rFonts w:eastAsia="新細明體"/>
          <w:lang w:eastAsia="zh-TW"/>
        </w:rPr>
      </w:pPr>
      <w:r w:rsidRPr="00C324E6">
        <w:rPr>
          <w:rFonts w:eastAsia="新細明體"/>
          <w:b/>
          <w:bCs/>
          <w:lang w:eastAsia="zh-TW"/>
        </w:rPr>
        <w:t>Support for New Scenarios:</w:t>
      </w:r>
    </w:p>
    <w:p w14:paraId="6E4986AD" w14:textId="77777777" w:rsidR="00C324E6" w:rsidRPr="00C324E6" w:rsidRDefault="00C324E6" w:rsidP="00E272F0">
      <w:pPr>
        <w:numPr>
          <w:ilvl w:val="1"/>
          <w:numId w:val="25"/>
        </w:numPr>
        <w:rPr>
          <w:rFonts w:eastAsia="新細明體"/>
          <w:lang w:eastAsia="zh-TW"/>
        </w:rPr>
      </w:pPr>
      <w:r w:rsidRPr="00C324E6">
        <w:rPr>
          <w:rFonts w:eastAsia="新細明體"/>
          <w:lang w:eastAsia="zh-TW"/>
        </w:rPr>
        <w:lastRenderedPageBreak/>
        <w:t>OD-SIB1 requests in standalone cells.</w:t>
      </w:r>
    </w:p>
    <w:p w14:paraId="55FCCEA9" w14:textId="77777777" w:rsidR="00503EBB" w:rsidRDefault="00C324E6" w:rsidP="00E272F0">
      <w:pPr>
        <w:numPr>
          <w:ilvl w:val="1"/>
          <w:numId w:val="25"/>
        </w:numPr>
        <w:rPr>
          <w:rFonts w:eastAsia="新細明體"/>
          <w:lang w:eastAsia="zh-TW"/>
        </w:rPr>
      </w:pPr>
      <w:r w:rsidRPr="00C324E6">
        <w:rPr>
          <w:rFonts w:eastAsia="新細明體"/>
          <w:lang w:eastAsia="zh-TW"/>
        </w:rPr>
        <w:t xml:space="preserve">DL/UL Decoupling </w:t>
      </w:r>
    </w:p>
    <w:p w14:paraId="35EE17B0" w14:textId="157CD589" w:rsidR="00275370" w:rsidRPr="00291F5D" w:rsidRDefault="00C324E6" w:rsidP="00275370">
      <w:pPr>
        <w:numPr>
          <w:ilvl w:val="1"/>
          <w:numId w:val="25"/>
        </w:numPr>
        <w:rPr>
          <w:rFonts w:eastAsia="新細明體"/>
          <w:lang w:eastAsia="zh-TW"/>
        </w:rPr>
      </w:pPr>
      <w:r w:rsidRPr="00C324E6">
        <w:rPr>
          <w:rFonts w:eastAsia="新細明體"/>
          <w:lang w:eastAsia="zh-TW"/>
        </w:rPr>
        <w:t>Multi-carrier cell operations.</w:t>
      </w:r>
    </w:p>
    <w:p w14:paraId="1A3FF2AD" w14:textId="7F5782A6" w:rsidR="00275370" w:rsidRPr="00104C7C" w:rsidRDefault="00275370" w:rsidP="009A7BB8">
      <w:pPr>
        <w:pStyle w:val="Heading1"/>
        <w:rPr>
          <w:rFonts w:eastAsiaTheme="minorEastAsia"/>
          <w:lang w:eastAsia="zh-TW"/>
        </w:rPr>
      </w:pPr>
      <w:r w:rsidRPr="00275370">
        <w:rPr>
          <w:rFonts w:eastAsiaTheme="minorEastAsia"/>
          <w:lang w:eastAsia="zh-TW"/>
        </w:rPr>
        <w:t>BWP Operation in RRC Connected Mode</w:t>
      </w:r>
      <w:r w:rsidRPr="00275370">
        <w:rPr>
          <w:lang w:val="en-US"/>
        </w:rPr>
        <w:t xml:space="preserve">   </w:t>
      </w:r>
    </w:p>
    <w:p w14:paraId="43B9CC0C" w14:textId="23DC57F7" w:rsidR="0033545E" w:rsidRDefault="00960579" w:rsidP="00275370">
      <w:pPr>
        <w:pStyle w:val="Heading2"/>
        <w:rPr>
          <w:rFonts w:eastAsiaTheme="minorEastAsia"/>
          <w:lang w:eastAsia="zh-TW"/>
        </w:rPr>
      </w:pPr>
      <w:r>
        <w:rPr>
          <w:rFonts w:eastAsiaTheme="minorEastAsia"/>
          <w:lang w:eastAsia="zh-TW"/>
        </w:rPr>
        <w:t xml:space="preserve">Lean BWP </w:t>
      </w:r>
      <w:r w:rsidR="00215066">
        <w:rPr>
          <w:rFonts w:eastAsiaTheme="minorEastAsia"/>
          <w:lang w:eastAsia="zh-TW"/>
        </w:rPr>
        <w:t>C</w:t>
      </w:r>
      <w:r>
        <w:rPr>
          <w:rFonts w:eastAsiaTheme="minorEastAsia"/>
          <w:lang w:eastAsia="zh-TW"/>
        </w:rPr>
        <w:t>onfiguration</w:t>
      </w:r>
      <w:r w:rsidR="006165E2" w:rsidRPr="00485E9B">
        <w:rPr>
          <w:rFonts w:hint="eastAsia"/>
        </w:rPr>
        <w:t xml:space="preserve"> </w:t>
      </w:r>
      <w:r w:rsidR="006165E2">
        <w:t xml:space="preserve">  </w:t>
      </w:r>
    </w:p>
    <w:p w14:paraId="6C201D1A" w14:textId="43914528" w:rsidR="00D27EBB" w:rsidRDefault="00D27EBB" w:rsidP="00D27EBB">
      <w:pPr>
        <w:rPr>
          <w:rFonts w:eastAsiaTheme="minorEastAsia"/>
          <w:bCs/>
          <w:lang w:eastAsia="zh-TW"/>
        </w:rPr>
      </w:pPr>
      <w:r>
        <w:rPr>
          <w:rFonts w:eastAsiaTheme="minorEastAsia"/>
          <w:bCs/>
          <w:lang w:eastAsia="zh-TW"/>
        </w:rPr>
        <w:t xml:space="preserve">The 5G NR BWP framework introduced substantial flexibility for adapting RRC parameters. However, field logs show that many parameters (e.g., numerology) are often configured identically across BWPs. </w:t>
      </w:r>
      <w:r w:rsidR="000A3AB3" w:rsidRPr="000A3AB3">
        <w:rPr>
          <w:rFonts w:eastAsiaTheme="minorEastAsia"/>
          <w:bCs/>
          <w:lang w:eastAsia="zh-TW"/>
        </w:rPr>
        <w:t>This gap between specifications and real-world deployment reveals several drawbacks of “full flexibility”. As 6G is poised to support much wider bandwidths and more advanced features, a lean BWP configuration is essential for scalability and efficiency.</w:t>
      </w:r>
      <w:r w:rsidR="000A3AB3">
        <w:rPr>
          <w:rFonts w:eastAsiaTheme="minorEastAsia"/>
          <w:bCs/>
          <w:lang w:eastAsia="zh-TW"/>
        </w:rPr>
        <w:t xml:space="preserve"> </w:t>
      </w:r>
      <w:r>
        <w:rPr>
          <w:rFonts w:eastAsiaTheme="minorEastAsia"/>
          <w:bCs/>
          <w:lang w:eastAsia="zh-TW"/>
        </w:rPr>
        <w:fldChar w:fldCharType="begin"/>
      </w:r>
      <w:r>
        <w:rPr>
          <w:rFonts w:eastAsiaTheme="minorEastAsia"/>
          <w:bCs/>
          <w:lang w:eastAsia="zh-TW"/>
        </w:rPr>
        <w:instrText xml:space="preserve"> REF _Ref220666074 \h  \* MERGEFORMAT </w:instrText>
      </w:r>
      <w:r>
        <w:rPr>
          <w:rFonts w:eastAsiaTheme="minorEastAsia"/>
          <w:bCs/>
          <w:lang w:eastAsia="zh-TW"/>
        </w:rPr>
      </w:r>
      <w:r>
        <w:rPr>
          <w:rFonts w:eastAsiaTheme="minorEastAsia"/>
          <w:bCs/>
          <w:lang w:eastAsia="zh-TW"/>
        </w:rPr>
        <w:fldChar w:fldCharType="separate"/>
      </w:r>
      <w:r w:rsidR="00482437" w:rsidRPr="00482437">
        <w:rPr>
          <w:bCs/>
        </w:rPr>
        <w:t xml:space="preserve">Figure </w:t>
      </w:r>
      <w:r w:rsidR="00482437" w:rsidRPr="00482437">
        <w:rPr>
          <w:bCs/>
          <w:noProof/>
        </w:rPr>
        <w:t>3</w:t>
      </w:r>
      <w:r>
        <w:rPr>
          <w:rFonts w:eastAsiaTheme="minorEastAsia"/>
          <w:bCs/>
          <w:lang w:eastAsia="zh-TW"/>
        </w:rPr>
        <w:fldChar w:fldCharType="end"/>
      </w:r>
      <w:r>
        <w:rPr>
          <w:rFonts w:eastAsiaTheme="minorEastAsia"/>
          <w:bCs/>
          <w:lang w:eastAsia="zh-TW"/>
        </w:rPr>
        <w:t xml:space="preserve"> illustrates the</w:t>
      </w:r>
      <w:r w:rsidR="002E625E">
        <w:rPr>
          <w:rFonts w:eastAsiaTheme="minorEastAsia"/>
          <w:bCs/>
          <w:lang w:eastAsia="zh-TW"/>
        </w:rPr>
        <w:t xml:space="preserve"> proposed</w:t>
      </w:r>
      <w:r>
        <w:rPr>
          <w:rFonts w:eastAsiaTheme="minorEastAsia"/>
          <w:bCs/>
          <w:lang w:eastAsia="zh-TW"/>
        </w:rPr>
        <w:t xml:space="preserve"> lean BWP configuration RRC structure. </w:t>
      </w:r>
    </w:p>
    <w:p w14:paraId="3DC630D1" w14:textId="4B99F7E8" w:rsidR="00EF0099" w:rsidRDefault="00EF0099" w:rsidP="00D27EBB">
      <w:pPr>
        <w:rPr>
          <w:rFonts w:eastAsiaTheme="minorEastAsia"/>
          <w:bCs/>
          <w:lang w:eastAsia="zh-TW"/>
        </w:rPr>
      </w:pPr>
      <w:r w:rsidRPr="00EF0099">
        <w:rPr>
          <w:rFonts w:eastAsiaTheme="minorEastAsia"/>
          <w:bCs/>
          <w:lang w:eastAsia="zh-TW"/>
        </w:rPr>
        <w:t>To efficiently support BWP's primary goals of energy saving and wideband/narrowband UE coexistence, it is recommended that signaling be limited to essential information. This includes parameters such as frequency location, bandwidth size, and energy-saving configurations.</w:t>
      </w:r>
    </w:p>
    <w:p w14:paraId="2DAD81A9" w14:textId="670E56BB" w:rsidR="00D27EBB" w:rsidRDefault="00B15D6E" w:rsidP="00B15D6E">
      <w:pPr>
        <w:pStyle w:val="Caption"/>
      </w:pPr>
      <w:bookmarkStart w:id="9" w:name="_Ref220681844"/>
      <w:r>
        <w:t xml:space="preserve">Observation </w:t>
      </w:r>
      <w:r>
        <w:fldChar w:fldCharType="begin"/>
      </w:r>
      <w:r>
        <w:instrText xml:space="preserve"> SEQ Observation \* ARABIC </w:instrText>
      </w:r>
      <w:r>
        <w:fldChar w:fldCharType="separate"/>
      </w:r>
      <w:r w:rsidR="00482437">
        <w:rPr>
          <w:noProof/>
        </w:rPr>
        <w:t>3</w:t>
      </w:r>
      <w:r>
        <w:fldChar w:fldCharType="end"/>
      </w:r>
      <w:r w:rsidR="00D27EBB">
        <w:rPr>
          <w:rFonts w:eastAsiaTheme="minorEastAsia"/>
          <w:lang w:eastAsia="zh-TW"/>
        </w:rPr>
        <w:t xml:space="preserve">: </w:t>
      </w:r>
      <w:r w:rsidR="00D27EBB">
        <w:rPr>
          <w:rFonts w:eastAsiaTheme="minorEastAsia"/>
          <w:bCs/>
          <w:lang w:eastAsia="zh-TW"/>
        </w:rPr>
        <w:t>Field deployment reveals that excessive BWP configuration flexibility offers limited practical benefit and adds unnecessary signaling and implementation complexity. A lean, streamlined BWP configuration focusing on core parameters is critical in 6G.</w:t>
      </w:r>
      <w:bookmarkEnd w:id="9"/>
    </w:p>
    <w:p w14:paraId="5315B757" w14:textId="15DBF494" w:rsidR="00D673CF" w:rsidRPr="00790B4E" w:rsidRDefault="00D27EBB" w:rsidP="00790B4E">
      <w:pPr>
        <w:pStyle w:val="Caption"/>
        <w:rPr>
          <w:rFonts w:eastAsiaTheme="minorEastAsia"/>
          <w:bCs/>
          <w:lang w:eastAsia="zh-TW"/>
        </w:rPr>
      </w:pPr>
      <w:bookmarkStart w:id="10" w:name="_Ref220682245"/>
      <w:r>
        <w:t xml:space="preserve">Proposal </w:t>
      </w:r>
      <w:r>
        <w:fldChar w:fldCharType="begin"/>
      </w:r>
      <w:r>
        <w:instrText xml:space="preserve"> SEQ Proposal \* ARABIC </w:instrText>
      </w:r>
      <w:r>
        <w:fldChar w:fldCharType="separate"/>
      </w:r>
      <w:r w:rsidR="00482437">
        <w:rPr>
          <w:noProof/>
        </w:rPr>
        <w:t>6</w:t>
      </w:r>
      <w:r>
        <w:fldChar w:fldCharType="end"/>
      </w:r>
      <w:r>
        <w:rPr>
          <w:rFonts w:eastAsiaTheme="minorEastAsia"/>
          <w:lang w:eastAsia="zh-TW"/>
        </w:rPr>
        <w:t xml:space="preserve">: </w:t>
      </w:r>
      <w:r>
        <w:rPr>
          <w:rFonts w:eastAsiaTheme="minorEastAsia"/>
          <w:bCs/>
          <w:lang w:eastAsia="zh-TW"/>
        </w:rPr>
        <w:t>Support a lean BWP configuration for 6G to efficiently address the identified use cases for BWP.</w:t>
      </w:r>
      <w:bookmarkEnd w:id="10"/>
    </w:p>
    <w:p w14:paraId="53E07696" w14:textId="2BEAB39F" w:rsidR="00D27EBB" w:rsidRDefault="00D27EBB" w:rsidP="00D27EBB">
      <w:pPr>
        <w:jc w:val="center"/>
        <w:rPr>
          <w:rFonts w:eastAsiaTheme="minorEastAsia"/>
          <w:bCs/>
          <w:lang w:eastAsia="zh-TW"/>
        </w:rPr>
      </w:pPr>
      <w:r>
        <w:rPr>
          <w:rFonts w:eastAsiaTheme="minorEastAsia"/>
          <w:noProof/>
          <w:lang w:eastAsia="zh-TW"/>
        </w:rPr>
        <w:drawing>
          <wp:inline distT="0" distB="0" distL="0" distR="0" wp14:anchorId="29B050FF" wp14:editId="34C60641">
            <wp:extent cx="5427980" cy="1627505"/>
            <wp:effectExtent l="0" t="0" r="1270" b="0"/>
            <wp:docPr id="37266221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7980" cy="1627505"/>
                    </a:xfrm>
                    <a:prstGeom prst="rect">
                      <a:avLst/>
                    </a:prstGeom>
                    <a:noFill/>
                    <a:ln>
                      <a:noFill/>
                    </a:ln>
                  </pic:spPr>
                </pic:pic>
              </a:graphicData>
            </a:graphic>
          </wp:inline>
        </w:drawing>
      </w:r>
    </w:p>
    <w:p w14:paraId="76FD5CE8" w14:textId="1FAD1E92" w:rsidR="00D27EBB" w:rsidRPr="00D27EBB" w:rsidRDefault="00D27EBB" w:rsidP="005500EF">
      <w:pPr>
        <w:jc w:val="center"/>
        <w:rPr>
          <w:rFonts w:eastAsiaTheme="minorEastAsia"/>
          <w:lang w:eastAsia="zh-TW"/>
        </w:rPr>
      </w:pPr>
      <w:bookmarkStart w:id="11" w:name="_Ref220666074"/>
      <w:r w:rsidRPr="00D27EBB">
        <w:t xml:space="preserve">Figure </w:t>
      </w:r>
      <w:r w:rsidRPr="00D27EBB">
        <w:fldChar w:fldCharType="begin"/>
      </w:r>
      <w:r w:rsidRPr="00D27EBB">
        <w:instrText xml:space="preserve"> SEQ Figure \* ARABIC </w:instrText>
      </w:r>
      <w:r w:rsidRPr="00D27EBB">
        <w:fldChar w:fldCharType="separate"/>
      </w:r>
      <w:r w:rsidR="00482437">
        <w:rPr>
          <w:noProof/>
        </w:rPr>
        <w:t>3</w:t>
      </w:r>
      <w:r w:rsidRPr="00D27EBB">
        <w:fldChar w:fldCharType="end"/>
      </w:r>
      <w:bookmarkEnd w:id="11"/>
      <w:r w:rsidRPr="00D27EBB">
        <w:rPr>
          <w:rFonts w:eastAsiaTheme="minorEastAsia"/>
          <w:lang w:eastAsia="zh-TW"/>
        </w:rPr>
        <w:t xml:space="preserve">. Illustration of </w:t>
      </w:r>
      <w:r w:rsidR="00986F54">
        <w:rPr>
          <w:rFonts w:eastAsiaTheme="minorEastAsia"/>
          <w:lang w:eastAsia="zh-TW"/>
        </w:rPr>
        <w:t xml:space="preserve">the proposed </w:t>
      </w:r>
      <w:r w:rsidRPr="00D27EBB">
        <w:rPr>
          <w:rFonts w:eastAsiaTheme="minorEastAsia"/>
          <w:lang w:eastAsia="zh-TW"/>
        </w:rPr>
        <w:t>lean BWP configuration</w:t>
      </w:r>
    </w:p>
    <w:p w14:paraId="351D5319" w14:textId="77777777" w:rsidR="00104C7C" w:rsidRPr="00104C7C" w:rsidRDefault="00104C7C" w:rsidP="00104C7C">
      <w:pPr>
        <w:rPr>
          <w:rFonts w:eastAsiaTheme="minorEastAsia"/>
          <w:b/>
          <w:bCs/>
          <w:u w:val="single"/>
          <w:lang w:eastAsia="zh-TW"/>
        </w:rPr>
      </w:pPr>
      <w:r w:rsidRPr="00104C7C">
        <w:rPr>
          <w:rFonts w:eastAsiaTheme="minorEastAsia"/>
          <w:b/>
          <w:bCs/>
          <w:u w:val="single"/>
          <w:lang w:eastAsia="zh-TW"/>
        </w:rPr>
        <w:t>Numerology configuration</w:t>
      </w:r>
    </w:p>
    <w:p w14:paraId="4109AF4A" w14:textId="77777777" w:rsidR="00104C7C" w:rsidRPr="00104C7C" w:rsidRDefault="00104C7C" w:rsidP="00104C7C">
      <w:pPr>
        <w:rPr>
          <w:rFonts w:eastAsiaTheme="minorEastAsia"/>
          <w:lang w:eastAsia="zh-TW"/>
        </w:rPr>
      </w:pPr>
      <w:r w:rsidRPr="00104C7C">
        <w:rPr>
          <w:rFonts w:eastAsiaTheme="minorEastAsia"/>
          <w:lang w:eastAsia="zh-TW"/>
        </w:rPr>
        <w:t>To achieve a lean BWP configuration and improve BWP switching efficiency, it is desirable to avoid excessive BWP-specific BB/RF configuration parameters. Numerology is a key example: supporting numerology changes through BWP switching is not observed in real network deployments and introduces complexity for both network scheduling and UE implementation. For simplicity and to minimize switching delays and UE complexity, all BWPs configured in the same direction (DL or UL) should use the same numerology.</w:t>
      </w:r>
    </w:p>
    <w:p w14:paraId="2B966F1E" w14:textId="073A2494" w:rsidR="00104C7C" w:rsidRPr="00104C7C" w:rsidRDefault="00104C7C" w:rsidP="00104C7C">
      <w:pPr>
        <w:rPr>
          <w:rFonts w:eastAsiaTheme="minorEastAsia"/>
          <w:b/>
          <w:lang w:eastAsia="zh-TW"/>
        </w:rPr>
      </w:pPr>
      <w:bookmarkStart w:id="12" w:name="_Ref220681891"/>
      <w:r w:rsidRPr="00104C7C">
        <w:rPr>
          <w:rFonts w:eastAsiaTheme="minorEastAsia"/>
          <w:b/>
          <w:lang w:eastAsia="zh-TW"/>
        </w:rPr>
        <w:t xml:space="preserve">Observation </w:t>
      </w:r>
      <w:r w:rsidRPr="00104C7C">
        <w:rPr>
          <w:rFonts w:eastAsiaTheme="minorEastAsia"/>
          <w:b/>
          <w:lang w:eastAsia="zh-TW"/>
        </w:rPr>
        <w:fldChar w:fldCharType="begin"/>
      </w:r>
      <w:r w:rsidRPr="00104C7C">
        <w:rPr>
          <w:rFonts w:eastAsiaTheme="minorEastAsia"/>
          <w:b/>
          <w:lang w:eastAsia="zh-TW"/>
        </w:rPr>
        <w:instrText xml:space="preserve"> SEQ Observation \* ARABIC </w:instrText>
      </w:r>
      <w:r w:rsidRPr="00104C7C">
        <w:rPr>
          <w:rFonts w:eastAsiaTheme="minorEastAsia"/>
          <w:b/>
          <w:lang w:eastAsia="zh-TW"/>
        </w:rPr>
        <w:fldChar w:fldCharType="separate"/>
      </w:r>
      <w:r w:rsidR="00482437">
        <w:rPr>
          <w:rFonts w:eastAsiaTheme="minorEastAsia"/>
          <w:b/>
          <w:noProof/>
          <w:lang w:eastAsia="zh-TW"/>
        </w:rPr>
        <w:t>4</w:t>
      </w:r>
      <w:r w:rsidRPr="00104C7C">
        <w:rPr>
          <w:rFonts w:eastAsiaTheme="minorEastAsia"/>
          <w:lang w:eastAsia="zh-TW"/>
        </w:rPr>
        <w:fldChar w:fldCharType="end"/>
      </w:r>
      <w:r w:rsidRPr="00104C7C">
        <w:rPr>
          <w:rFonts w:eastAsiaTheme="minorEastAsia"/>
          <w:b/>
          <w:lang w:eastAsia="zh-TW"/>
        </w:rPr>
        <w:t>: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bookmarkEnd w:id="12"/>
    </w:p>
    <w:p w14:paraId="4531A572" w14:textId="5A5B5998" w:rsidR="00104C7C" w:rsidRPr="00104C7C" w:rsidRDefault="00104C7C" w:rsidP="00104C7C">
      <w:pPr>
        <w:rPr>
          <w:rFonts w:eastAsiaTheme="minorEastAsia"/>
          <w:b/>
          <w:lang w:eastAsia="zh-TW"/>
        </w:rPr>
      </w:pPr>
      <w:bookmarkStart w:id="13" w:name="_Ref220682266"/>
      <w:r w:rsidRPr="00104C7C">
        <w:rPr>
          <w:rFonts w:eastAsiaTheme="minorEastAsia"/>
          <w:b/>
          <w:lang w:eastAsia="zh-TW"/>
        </w:rPr>
        <w:t xml:space="preserve">Proposal </w:t>
      </w:r>
      <w:r w:rsidRPr="00104C7C">
        <w:rPr>
          <w:rFonts w:eastAsiaTheme="minorEastAsia"/>
          <w:b/>
          <w:lang w:eastAsia="zh-TW"/>
        </w:rPr>
        <w:fldChar w:fldCharType="begin"/>
      </w:r>
      <w:r w:rsidRPr="00104C7C">
        <w:rPr>
          <w:rFonts w:eastAsiaTheme="minorEastAsia"/>
          <w:b/>
          <w:lang w:eastAsia="zh-TW"/>
        </w:rPr>
        <w:instrText xml:space="preserve"> SEQ Proposal \* ARABIC </w:instrText>
      </w:r>
      <w:r w:rsidRPr="00104C7C">
        <w:rPr>
          <w:rFonts w:eastAsiaTheme="minorEastAsia"/>
          <w:b/>
          <w:lang w:eastAsia="zh-TW"/>
        </w:rPr>
        <w:fldChar w:fldCharType="separate"/>
      </w:r>
      <w:r w:rsidR="00482437">
        <w:rPr>
          <w:rFonts w:eastAsiaTheme="minorEastAsia"/>
          <w:b/>
          <w:noProof/>
          <w:lang w:eastAsia="zh-TW"/>
        </w:rPr>
        <w:t>7</w:t>
      </w:r>
      <w:r w:rsidRPr="00104C7C">
        <w:rPr>
          <w:rFonts w:eastAsiaTheme="minorEastAsia"/>
          <w:lang w:eastAsia="zh-TW"/>
        </w:rPr>
        <w:fldChar w:fldCharType="end"/>
      </w:r>
      <w:r w:rsidRPr="00104C7C">
        <w:rPr>
          <w:rFonts w:eastAsiaTheme="minorEastAsia"/>
          <w:b/>
          <w:lang w:eastAsia="zh-TW"/>
        </w:rPr>
        <w:t>: All BWPs configured for a cell for a same direction, DL or UL, share the same numerology</w:t>
      </w:r>
      <w:r w:rsidR="001E28CA">
        <w:rPr>
          <w:rFonts w:eastAsiaTheme="minorEastAsia"/>
          <w:b/>
          <w:lang w:eastAsia="zh-TW"/>
        </w:rPr>
        <w:t>.</w:t>
      </w:r>
      <w:bookmarkEnd w:id="13"/>
      <w:r w:rsidRPr="00104C7C">
        <w:rPr>
          <w:rFonts w:eastAsiaTheme="minorEastAsia"/>
          <w:b/>
          <w:lang w:eastAsia="zh-TW"/>
        </w:rPr>
        <w:t xml:space="preserve"> </w:t>
      </w:r>
    </w:p>
    <w:p w14:paraId="02B57E6F" w14:textId="77777777" w:rsidR="00031D89" w:rsidRPr="00104C7C" w:rsidRDefault="00031D89" w:rsidP="00104C7C">
      <w:pPr>
        <w:rPr>
          <w:rFonts w:eastAsiaTheme="minorEastAsia"/>
          <w:b/>
          <w:lang w:eastAsia="zh-TW"/>
        </w:rPr>
      </w:pPr>
    </w:p>
    <w:p w14:paraId="79872E73" w14:textId="77777777" w:rsidR="00104C7C" w:rsidRPr="00104C7C" w:rsidRDefault="00104C7C" w:rsidP="00104C7C">
      <w:pPr>
        <w:rPr>
          <w:rFonts w:eastAsiaTheme="minorEastAsia"/>
          <w:b/>
          <w:bCs/>
          <w:u w:val="single"/>
          <w:lang w:eastAsia="zh-TW"/>
        </w:rPr>
      </w:pPr>
      <w:r w:rsidRPr="00104C7C">
        <w:rPr>
          <w:rFonts w:eastAsiaTheme="minorEastAsia"/>
          <w:b/>
          <w:bCs/>
          <w:u w:val="single"/>
          <w:lang w:eastAsia="zh-TW"/>
        </w:rPr>
        <w:t>Resource allocation configuration</w:t>
      </w:r>
    </w:p>
    <w:p w14:paraId="520DED42" w14:textId="77777777" w:rsidR="00104C7C" w:rsidRPr="00104C7C" w:rsidRDefault="00104C7C" w:rsidP="00104C7C">
      <w:pPr>
        <w:rPr>
          <w:rFonts w:eastAsiaTheme="minorEastAsia"/>
          <w:lang w:eastAsia="zh-TW"/>
        </w:rPr>
      </w:pPr>
      <w:r w:rsidRPr="00104C7C">
        <w:rPr>
          <w:rFonts w:eastAsiaTheme="minorEastAsia"/>
          <w:lang w:eastAsia="zh-TW"/>
        </w:rPr>
        <w:t>NR currently supports contiguous resource allocation within a BWP. This design is practical, as the primary purpose of BWP switching is to facilitate UE energy savings. However, with emerging use cases such as SBFD, it can further discuss whether a BWP within a carrier can also support non-contiguous resource allocation.</w:t>
      </w:r>
    </w:p>
    <w:p w14:paraId="7B53E400" w14:textId="51F09100" w:rsidR="00104C7C" w:rsidRPr="00104C7C" w:rsidRDefault="00104C7C" w:rsidP="00104C7C">
      <w:pPr>
        <w:rPr>
          <w:rFonts w:eastAsiaTheme="minorEastAsia"/>
          <w:b/>
          <w:lang w:eastAsia="zh-TW"/>
        </w:rPr>
      </w:pPr>
      <w:bookmarkStart w:id="14" w:name="_Ref220681902"/>
      <w:r w:rsidRPr="00104C7C">
        <w:rPr>
          <w:rFonts w:eastAsiaTheme="minorEastAsia"/>
          <w:b/>
          <w:lang w:eastAsia="zh-TW"/>
        </w:rPr>
        <w:lastRenderedPageBreak/>
        <w:t xml:space="preserve">Observation </w:t>
      </w:r>
      <w:r w:rsidRPr="00104C7C">
        <w:rPr>
          <w:rFonts w:eastAsiaTheme="minorEastAsia"/>
          <w:b/>
          <w:lang w:eastAsia="zh-TW"/>
        </w:rPr>
        <w:fldChar w:fldCharType="begin"/>
      </w:r>
      <w:r w:rsidRPr="00104C7C">
        <w:rPr>
          <w:rFonts w:eastAsiaTheme="minorEastAsia"/>
          <w:b/>
          <w:lang w:eastAsia="zh-TW"/>
        </w:rPr>
        <w:instrText xml:space="preserve"> SEQ Observation \* ARABIC </w:instrText>
      </w:r>
      <w:r w:rsidRPr="00104C7C">
        <w:rPr>
          <w:rFonts w:eastAsiaTheme="minorEastAsia"/>
          <w:b/>
          <w:lang w:eastAsia="zh-TW"/>
        </w:rPr>
        <w:fldChar w:fldCharType="separate"/>
      </w:r>
      <w:r w:rsidR="00482437">
        <w:rPr>
          <w:rFonts w:eastAsiaTheme="minorEastAsia"/>
          <w:b/>
          <w:noProof/>
          <w:lang w:eastAsia="zh-TW"/>
        </w:rPr>
        <w:t>5</w:t>
      </w:r>
      <w:r w:rsidRPr="00104C7C">
        <w:rPr>
          <w:rFonts w:eastAsiaTheme="minorEastAsia"/>
          <w:lang w:eastAsia="zh-TW"/>
        </w:rPr>
        <w:fldChar w:fldCharType="end"/>
      </w:r>
      <w:r w:rsidRPr="00104C7C">
        <w:rPr>
          <w:rFonts w:eastAsiaTheme="minorEastAsia"/>
          <w:b/>
          <w:lang w:eastAsia="zh-TW"/>
        </w:rPr>
        <w:t>: Contiguous resource allocation within a BWP supports efficient UE implementation and energy savings. Potential new scenarios (e.g., SBFD) may require re-evaluating support for non-contiguous allocation for a BWP within a carrier.</w:t>
      </w:r>
      <w:bookmarkEnd w:id="14"/>
    </w:p>
    <w:p w14:paraId="5C5ECAD6" w14:textId="395C53F1" w:rsidR="00104C7C" w:rsidRPr="00104C7C" w:rsidRDefault="00104C7C" w:rsidP="00104C7C">
      <w:pPr>
        <w:rPr>
          <w:rFonts w:eastAsiaTheme="minorEastAsia"/>
          <w:b/>
          <w:lang w:eastAsia="zh-TW"/>
        </w:rPr>
      </w:pPr>
      <w:bookmarkStart w:id="15" w:name="_Ref220682275"/>
      <w:r w:rsidRPr="00104C7C">
        <w:rPr>
          <w:rFonts w:eastAsiaTheme="minorEastAsia"/>
          <w:b/>
          <w:lang w:eastAsia="zh-TW"/>
        </w:rPr>
        <w:t xml:space="preserve">Proposal </w:t>
      </w:r>
      <w:r w:rsidRPr="00104C7C">
        <w:rPr>
          <w:rFonts w:eastAsiaTheme="minorEastAsia"/>
          <w:b/>
          <w:lang w:eastAsia="zh-TW"/>
        </w:rPr>
        <w:fldChar w:fldCharType="begin"/>
      </w:r>
      <w:r w:rsidRPr="00104C7C">
        <w:rPr>
          <w:rFonts w:eastAsiaTheme="minorEastAsia"/>
          <w:b/>
          <w:lang w:eastAsia="zh-TW"/>
        </w:rPr>
        <w:instrText xml:space="preserve"> SEQ Proposal \* ARABIC </w:instrText>
      </w:r>
      <w:r w:rsidRPr="00104C7C">
        <w:rPr>
          <w:rFonts w:eastAsiaTheme="minorEastAsia"/>
          <w:b/>
          <w:lang w:eastAsia="zh-TW"/>
        </w:rPr>
        <w:fldChar w:fldCharType="separate"/>
      </w:r>
      <w:r w:rsidR="00482437">
        <w:rPr>
          <w:rFonts w:eastAsiaTheme="minorEastAsia"/>
          <w:b/>
          <w:noProof/>
          <w:lang w:eastAsia="zh-TW"/>
        </w:rPr>
        <w:t>8</w:t>
      </w:r>
      <w:r w:rsidRPr="00104C7C">
        <w:rPr>
          <w:rFonts w:eastAsiaTheme="minorEastAsia"/>
          <w:lang w:eastAsia="zh-TW"/>
        </w:rPr>
        <w:fldChar w:fldCharType="end"/>
      </w:r>
      <w:r w:rsidRPr="00104C7C">
        <w:rPr>
          <w:rFonts w:eastAsiaTheme="minorEastAsia"/>
          <w:b/>
          <w:lang w:eastAsia="zh-TW"/>
        </w:rPr>
        <w:t>: Support at least contiguous resource allocation</w:t>
      </w:r>
      <w:r w:rsidRPr="00104C7C">
        <w:rPr>
          <w:rFonts w:eastAsiaTheme="minorEastAsia"/>
          <w:lang w:eastAsia="zh-TW"/>
        </w:rPr>
        <w:t xml:space="preserve"> </w:t>
      </w:r>
      <w:r w:rsidRPr="00104C7C">
        <w:rPr>
          <w:rFonts w:eastAsiaTheme="minorEastAsia"/>
          <w:b/>
          <w:lang w:eastAsia="zh-TW"/>
        </w:rPr>
        <w:t>for a BWP</w:t>
      </w:r>
      <w:r w:rsidRPr="00104C7C">
        <w:rPr>
          <w:rFonts w:eastAsiaTheme="minorEastAsia"/>
          <w:b/>
          <w:bCs/>
          <w:lang w:eastAsia="zh-TW"/>
        </w:rPr>
        <w:t xml:space="preserve"> within a carrier.</w:t>
      </w:r>
      <w:bookmarkEnd w:id="15"/>
      <w:r w:rsidRPr="00104C7C">
        <w:rPr>
          <w:rFonts w:eastAsiaTheme="minorEastAsia"/>
          <w:b/>
          <w:bCs/>
          <w:lang w:eastAsia="zh-TW"/>
        </w:rPr>
        <w:t xml:space="preserve"> </w:t>
      </w:r>
    </w:p>
    <w:p w14:paraId="3B9850E1" w14:textId="77777777" w:rsidR="00104C7C" w:rsidRPr="00104C7C" w:rsidRDefault="00104C7C" w:rsidP="00E272F0">
      <w:pPr>
        <w:numPr>
          <w:ilvl w:val="0"/>
          <w:numId w:val="26"/>
        </w:numPr>
        <w:rPr>
          <w:rFonts w:eastAsiaTheme="minorEastAsia"/>
          <w:b/>
          <w:lang w:eastAsia="zh-TW"/>
        </w:rPr>
      </w:pPr>
      <w:r w:rsidRPr="00104C7C">
        <w:rPr>
          <w:rFonts w:eastAsiaTheme="minorEastAsia"/>
          <w:b/>
          <w:lang w:eastAsia="zh-TW"/>
        </w:rPr>
        <w:t>FFS: non-contiguous resource allocation for future use cases</w:t>
      </w:r>
    </w:p>
    <w:p w14:paraId="5D63991C" w14:textId="77777777" w:rsidR="00104C7C" w:rsidRPr="00104C7C" w:rsidRDefault="00104C7C" w:rsidP="00104C7C">
      <w:pPr>
        <w:rPr>
          <w:rFonts w:eastAsiaTheme="minorEastAsia"/>
          <w:b/>
          <w:bCs/>
          <w:u w:val="single"/>
          <w:lang w:eastAsia="zh-TW"/>
        </w:rPr>
      </w:pPr>
    </w:p>
    <w:p w14:paraId="50F5AB0D" w14:textId="77777777" w:rsidR="00104C7C" w:rsidRPr="00104C7C" w:rsidRDefault="00104C7C" w:rsidP="00104C7C">
      <w:pPr>
        <w:rPr>
          <w:rFonts w:eastAsiaTheme="minorEastAsia"/>
          <w:b/>
          <w:bCs/>
          <w:u w:val="single"/>
          <w:lang w:eastAsia="zh-TW"/>
        </w:rPr>
      </w:pPr>
      <w:r w:rsidRPr="00104C7C">
        <w:rPr>
          <w:rFonts w:eastAsiaTheme="minorEastAsia"/>
          <w:b/>
          <w:bCs/>
          <w:u w:val="single"/>
          <w:lang w:eastAsia="zh-TW"/>
        </w:rPr>
        <w:t>BWP type simplification</w:t>
      </w:r>
    </w:p>
    <w:p w14:paraId="597AA066" w14:textId="0A3E390D" w:rsidR="00290D99" w:rsidRDefault="00104C7C" w:rsidP="00104C7C">
      <w:pPr>
        <w:rPr>
          <w:rFonts w:eastAsiaTheme="minorEastAsia"/>
          <w:lang w:eastAsia="zh-TW"/>
        </w:rPr>
      </w:pPr>
      <w:r w:rsidRPr="00104C7C">
        <w:rPr>
          <w:rFonts w:eastAsiaTheme="minorEastAsia"/>
          <w:lang w:eastAsia="zh-TW"/>
        </w:rPr>
        <w:t xml:space="preserve">The current NR BWP framework defines multiple BWP types, </w:t>
      </w:r>
      <w:r w:rsidR="00637498">
        <w:rPr>
          <w:rFonts w:eastAsiaTheme="minorEastAsia"/>
          <w:lang w:eastAsia="zh-TW"/>
        </w:rPr>
        <w:t xml:space="preserve">and </w:t>
      </w:r>
      <w:r w:rsidRPr="00104C7C">
        <w:rPr>
          <w:rFonts w:eastAsiaTheme="minorEastAsia"/>
          <w:lang w:eastAsia="zh-TW"/>
        </w:rPr>
        <w:t xml:space="preserve">many of which provide limited benefits. Introducing unnecessary BWP types increases specification complexity, implementation overhead, and signaling burden. For 6G, it is important to retain only essential BWP types. Specifically, initial BWPs should be used for initial access, ensuring smooth procedures for devices </w:t>
      </w:r>
      <w:r w:rsidR="002D76D9">
        <w:rPr>
          <w:rFonts w:eastAsiaTheme="minorEastAsia"/>
          <w:lang w:eastAsia="zh-TW"/>
        </w:rPr>
        <w:t>transitioning to and from</w:t>
      </w:r>
      <w:r w:rsidRPr="00104C7C">
        <w:rPr>
          <w:rFonts w:eastAsiaTheme="minorEastAsia"/>
          <w:lang w:eastAsia="zh-TW"/>
        </w:rPr>
        <w:t xml:space="preserve"> connected mode. </w:t>
      </w:r>
      <w:r w:rsidR="00290D99" w:rsidRPr="00290D99">
        <w:rPr>
          <w:rFonts w:eastAsiaTheme="minorEastAsia"/>
          <w:lang w:eastAsia="zh-TW"/>
        </w:rPr>
        <w:t>To optimize both performance and energy consumption, it is sufficient to use dedicated BWPs tailored to specific needs, such as high-performance BWPs for data throughput and energy-efficient BWPs for power conservation.</w:t>
      </w:r>
    </w:p>
    <w:p w14:paraId="27A79C94" w14:textId="4EE3E599" w:rsidR="00104C7C" w:rsidRPr="00104C7C" w:rsidRDefault="00104C7C" w:rsidP="00104C7C">
      <w:pPr>
        <w:rPr>
          <w:rFonts w:eastAsiaTheme="minorEastAsia"/>
          <w:b/>
          <w:lang w:eastAsia="zh-TW"/>
        </w:rPr>
      </w:pPr>
      <w:bookmarkStart w:id="16" w:name="_Ref220681909"/>
      <w:r w:rsidRPr="00104C7C">
        <w:rPr>
          <w:rFonts w:eastAsiaTheme="minorEastAsia"/>
          <w:b/>
          <w:lang w:eastAsia="zh-TW"/>
        </w:rPr>
        <w:t xml:space="preserve">Observation </w:t>
      </w:r>
      <w:r w:rsidRPr="00104C7C">
        <w:rPr>
          <w:rFonts w:eastAsiaTheme="minorEastAsia"/>
          <w:b/>
          <w:lang w:eastAsia="zh-TW"/>
        </w:rPr>
        <w:fldChar w:fldCharType="begin"/>
      </w:r>
      <w:r w:rsidRPr="00104C7C">
        <w:rPr>
          <w:rFonts w:eastAsiaTheme="minorEastAsia"/>
          <w:b/>
          <w:lang w:eastAsia="zh-TW"/>
        </w:rPr>
        <w:instrText xml:space="preserve"> SEQ Observation \* ARABIC </w:instrText>
      </w:r>
      <w:r w:rsidRPr="00104C7C">
        <w:rPr>
          <w:rFonts w:eastAsiaTheme="minorEastAsia"/>
          <w:b/>
          <w:lang w:eastAsia="zh-TW"/>
        </w:rPr>
        <w:fldChar w:fldCharType="separate"/>
      </w:r>
      <w:r w:rsidR="00482437">
        <w:rPr>
          <w:rFonts w:eastAsiaTheme="minorEastAsia"/>
          <w:b/>
          <w:noProof/>
          <w:lang w:eastAsia="zh-TW"/>
        </w:rPr>
        <w:t>6</w:t>
      </w:r>
      <w:r w:rsidRPr="00104C7C">
        <w:rPr>
          <w:rFonts w:eastAsiaTheme="minorEastAsia"/>
          <w:lang w:eastAsia="zh-TW"/>
        </w:rPr>
        <w:fldChar w:fldCharType="end"/>
      </w:r>
      <w:r w:rsidRPr="00104C7C">
        <w:rPr>
          <w:rFonts w:eastAsiaTheme="minorEastAsia"/>
          <w:b/>
          <w:lang w:eastAsia="zh-TW"/>
        </w:rPr>
        <w:t xml:space="preserve">: Supporting numerous BWP types </w:t>
      </w:r>
      <w:r w:rsidR="005F239C">
        <w:rPr>
          <w:rFonts w:eastAsiaTheme="minorEastAsia"/>
          <w:b/>
          <w:lang w:eastAsia="zh-TW"/>
        </w:rPr>
        <w:t>complicates</w:t>
      </w:r>
      <w:r w:rsidRPr="00104C7C">
        <w:rPr>
          <w:rFonts w:eastAsiaTheme="minorEastAsia"/>
          <w:b/>
          <w:lang w:eastAsia="zh-TW"/>
        </w:rPr>
        <w:t xml:space="preserve"> </w:t>
      </w:r>
      <w:r w:rsidR="005F239C">
        <w:rPr>
          <w:rFonts w:eastAsiaTheme="minorEastAsia"/>
          <w:b/>
          <w:lang w:eastAsia="zh-TW"/>
        </w:rPr>
        <w:t xml:space="preserve">NR BWP framework </w:t>
      </w:r>
      <w:r w:rsidRPr="00104C7C">
        <w:rPr>
          <w:rFonts w:eastAsiaTheme="minorEastAsia"/>
          <w:b/>
          <w:lang w:eastAsia="zh-TW"/>
        </w:rPr>
        <w:t>without clear benefit. Focusing on a minimal set of essential BWP types simplifies</w:t>
      </w:r>
      <w:r w:rsidR="003E2800">
        <w:rPr>
          <w:rFonts w:eastAsiaTheme="minorEastAsia"/>
          <w:b/>
          <w:lang w:eastAsia="zh-TW"/>
        </w:rPr>
        <w:t xml:space="preserve"> </w:t>
      </w:r>
      <w:r w:rsidRPr="00104C7C">
        <w:rPr>
          <w:rFonts w:eastAsiaTheme="minorEastAsia"/>
          <w:b/>
          <w:lang w:eastAsia="zh-TW"/>
        </w:rPr>
        <w:t>both standardization and implementation while meeting performance and energy efficiency needs.</w:t>
      </w:r>
      <w:bookmarkEnd w:id="16"/>
    </w:p>
    <w:p w14:paraId="642EB3E7" w14:textId="4CCC7A11" w:rsidR="00104C7C" w:rsidRPr="00104C7C" w:rsidRDefault="00104C7C" w:rsidP="00104C7C">
      <w:pPr>
        <w:rPr>
          <w:rFonts w:eastAsiaTheme="minorEastAsia"/>
          <w:b/>
          <w:lang w:eastAsia="zh-TW"/>
        </w:rPr>
      </w:pPr>
      <w:bookmarkStart w:id="17" w:name="_Ref220682308"/>
      <w:r w:rsidRPr="00104C7C">
        <w:rPr>
          <w:rFonts w:eastAsiaTheme="minorEastAsia"/>
          <w:b/>
          <w:lang w:eastAsia="zh-TW"/>
        </w:rPr>
        <w:t xml:space="preserve">Proposal </w:t>
      </w:r>
      <w:r w:rsidRPr="00104C7C">
        <w:rPr>
          <w:rFonts w:eastAsiaTheme="minorEastAsia"/>
          <w:b/>
          <w:lang w:eastAsia="zh-TW"/>
        </w:rPr>
        <w:fldChar w:fldCharType="begin"/>
      </w:r>
      <w:r w:rsidRPr="00104C7C">
        <w:rPr>
          <w:rFonts w:eastAsiaTheme="minorEastAsia"/>
          <w:b/>
          <w:lang w:eastAsia="zh-TW"/>
        </w:rPr>
        <w:instrText xml:space="preserve"> SEQ Proposal \* ARABIC </w:instrText>
      </w:r>
      <w:r w:rsidRPr="00104C7C">
        <w:rPr>
          <w:rFonts w:eastAsiaTheme="minorEastAsia"/>
          <w:b/>
          <w:lang w:eastAsia="zh-TW"/>
        </w:rPr>
        <w:fldChar w:fldCharType="separate"/>
      </w:r>
      <w:r w:rsidR="00482437">
        <w:rPr>
          <w:rFonts w:eastAsiaTheme="minorEastAsia"/>
          <w:b/>
          <w:noProof/>
          <w:lang w:eastAsia="zh-TW"/>
        </w:rPr>
        <w:t>9</w:t>
      </w:r>
      <w:r w:rsidRPr="00104C7C">
        <w:rPr>
          <w:rFonts w:eastAsiaTheme="minorEastAsia"/>
          <w:lang w:eastAsia="zh-TW"/>
        </w:rPr>
        <w:fldChar w:fldCharType="end"/>
      </w:r>
      <w:r w:rsidRPr="00104C7C">
        <w:rPr>
          <w:rFonts w:eastAsiaTheme="minorEastAsia"/>
          <w:b/>
          <w:lang w:eastAsia="zh-TW"/>
        </w:rPr>
        <w:t>: Support the following two BWP types for 6GR</w:t>
      </w:r>
      <w:bookmarkEnd w:id="17"/>
    </w:p>
    <w:p w14:paraId="6EB89276" w14:textId="77777777" w:rsidR="00104C7C" w:rsidRPr="00104C7C" w:rsidRDefault="00104C7C" w:rsidP="00E272F0">
      <w:pPr>
        <w:numPr>
          <w:ilvl w:val="0"/>
          <w:numId w:val="27"/>
        </w:numPr>
        <w:rPr>
          <w:rFonts w:eastAsiaTheme="minorEastAsia"/>
          <w:b/>
          <w:bCs/>
          <w:lang w:eastAsia="zh-TW"/>
        </w:rPr>
      </w:pPr>
      <w:r w:rsidRPr="00104C7C">
        <w:rPr>
          <w:rFonts w:eastAsiaTheme="minorEastAsia"/>
          <w:b/>
          <w:bCs/>
          <w:lang w:eastAsia="zh-TW"/>
        </w:rPr>
        <w:t>Initial BWPs for initial access</w:t>
      </w:r>
    </w:p>
    <w:p w14:paraId="39D7A823" w14:textId="77777777" w:rsidR="00104C7C" w:rsidRPr="00104C7C" w:rsidRDefault="00104C7C" w:rsidP="00E272F0">
      <w:pPr>
        <w:numPr>
          <w:ilvl w:val="0"/>
          <w:numId w:val="27"/>
        </w:numPr>
        <w:rPr>
          <w:rFonts w:eastAsiaTheme="minorEastAsia"/>
          <w:b/>
          <w:bCs/>
          <w:lang w:eastAsia="zh-TW"/>
        </w:rPr>
      </w:pPr>
      <w:r w:rsidRPr="00104C7C">
        <w:rPr>
          <w:rFonts w:eastAsiaTheme="minorEastAsia"/>
          <w:b/>
          <w:bCs/>
          <w:lang w:eastAsia="zh-TW"/>
        </w:rPr>
        <w:t xml:space="preserve">Dedicated BWPs for connected mode </w:t>
      </w:r>
    </w:p>
    <w:p w14:paraId="215A1684" w14:textId="309DF9CD" w:rsidR="00104C7C" w:rsidRPr="00104C7C" w:rsidRDefault="00104C7C" w:rsidP="00E272F0">
      <w:pPr>
        <w:numPr>
          <w:ilvl w:val="1"/>
          <w:numId w:val="27"/>
        </w:numPr>
        <w:rPr>
          <w:rFonts w:eastAsiaTheme="minorEastAsia"/>
          <w:b/>
          <w:bCs/>
          <w:lang w:eastAsia="zh-TW"/>
        </w:rPr>
      </w:pPr>
      <w:r w:rsidRPr="00104C7C">
        <w:rPr>
          <w:rFonts w:eastAsiaTheme="minorEastAsia"/>
          <w:b/>
          <w:bCs/>
          <w:lang w:eastAsia="zh-TW"/>
        </w:rPr>
        <w:t>High-performance BWP</w:t>
      </w:r>
      <w:r w:rsidR="00B05EFF">
        <w:rPr>
          <w:rFonts w:eastAsiaTheme="minorEastAsia"/>
          <w:b/>
          <w:bCs/>
          <w:lang w:eastAsia="zh-TW"/>
        </w:rPr>
        <w:t>s</w:t>
      </w:r>
    </w:p>
    <w:p w14:paraId="64DD8563" w14:textId="3784FFBF" w:rsidR="00104C7C" w:rsidRDefault="00104C7C" w:rsidP="00E272F0">
      <w:pPr>
        <w:numPr>
          <w:ilvl w:val="1"/>
          <w:numId w:val="27"/>
        </w:numPr>
        <w:rPr>
          <w:rFonts w:eastAsiaTheme="minorEastAsia"/>
          <w:b/>
          <w:bCs/>
          <w:lang w:eastAsia="zh-TW"/>
        </w:rPr>
      </w:pPr>
      <w:r w:rsidRPr="00104C7C">
        <w:rPr>
          <w:rFonts w:eastAsiaTheme="minorEastAsia"/>
          <w:b/>
          <w:bCs/>
          <w:lang w:eastAsia="zh-TW"/>
        </w:rPr>
        <w:t>Energy-efficient BWP</w:t>
      </w:r>
      <w:r w:rsidR="00B05EFF">
        <w:rPr>
          <w:rFonts w:eastAsiaTheme="minorEastAsia"/>
          <w:b/>
          <w:bCs/>
          <w:lang w:eastAsia="zh-TW"/>
        </w:rPr>
        <w:t>s</w:t>
      </w:r>
    </w:p>
    <w:p w14:paraId="723FB29F" w14:textId="5C0FCAA2" w:rsidR="00C47D38" w:rsidRPr="00104C7C" w:rsidRDefault="00104C7C" w:rsidP="00E272F0">
      <w:pPr>
        <w:numPr>
          <w:ilvl w:val="0"/>
          <w:numId w:val="27"/>
        </w:numPr>
        <w:rPr>
          <w:rFonts w:eastAsiaTheme="minorEastAsia"/>
          <w:b/>
          <w:bCs/>
          <w:lang w:eastAsia="zh-TW"/>
        </w:rPr>
      </w:pPr>
      <w:r w:rsidRPr="00104C7C">
        <w:rPr>
          <w:rFonts w:eastAsiaTheme="minorEastAsia"/>
          <w:b/>
          <w:bCs/>
          <w:lang w:eastAsia="zh-TW"/>
        </w:rPr>
        <w:t>FFS: necessity for other BWP types</w:t>
      </w:r>
    </w:p>
    <w:p w14:paraId="291DF2B2" w14:textId="77777777" w:rsidR="00C47D38" w:rsidRPr="0078319B" w:rsidRDefault="00C47D38" w:rsidP="0078319B">
      <w:pPr>
        <w:rPr>
          <w:rFonts w:eastAsiaTheme="minorEastAsia"/>
          <w:lang w:eastAsia="zh-TW"/>
        </w:rPr>
      </w:pPr>
    </w:p>
    <w:p w14:paraId="61A6AB36" w14:textId="54BF05F5" w:rsidR="000F689B" w:rsidRPr="00A0688E" w:rsidRDefault="009C12FF" w:rsidP="000F689B">
      <w:pPr>
        <w:pStyle w:val="Heading2"/>
        <w:rPr>
          <w:rFonts w:eastAsiaTheme="minorEastAsia"/>
          <w:lang w:eastAsia="zh-TW"/>
        </w:rPr>
      </w:pPr>
      <w:r>
        <w:rPr>
          <w:rFonts w:eastAsiaTheme="minorEastAsia"/>
          <w:lang w:eastAsia="zh-TW"/>
        </w:rPr>
        <w:t>BWP</w:t>
      </w:r>
      <w:r w:rsidR="005906E9">
        <w:rPr>
          <w:rFonts w:eastAsiaTheme="minorEastAsia"/>
          <w:lang w:eastAsia="zh-TW"/>
        </w:rPr>
        <w:t xml:space="preserve"> </w:t>
      </w:r>
      <w:r>
        <w:rPr>
          <w:rFonts w:eastAsiaTheme="minorEastAsia"/>
          <w:lang w:eastAsia="zh-TW"/>
        </w:rPr>
        <w:t>Switch</w:t>
      </w:r>
      <w:r w:rsidR="00FF5002">
        <w:rPr>
          <w:rFonts w:eastAsiaTheme="minorEastAsia"/>
          <w:lang w:eastAsia="zh-TW"/>
        </w:rPr>
        <w:t xml:space="preserve"> </w:t>
      </w:r>
      <w:r w:rsidR="00214ACE">
        <w:rPr>
          <w:rFonts w:eastAsiaTheme="minorEastAsia"/>
          <w:lang w:eastAsia="zh-TW"/>
        </w:rPr>
        <w:t xml:space="preserve">Scenarios and </w:t>
      </w:r>
      <w:r w:rsidR="00FF5002">
        <w:rPr>
          <w:rFonts w:eastAsiaTheme="minorEastAsia"/>
          <w:lang w:eastAsia="zh-TW"/>
        </w:rPr>
        <w:t>Mechanisms</w:t>
      </w:r>
    </w:p>
    <w:p w14:paraId="64F0253C" w14:textId="77777777" w:rsidR="0007131D" w:rsidRPr="0007131D" w:rsidRDefault="0007131D" w:rsidP="0007131D">
      <w:pPr>
        <w:rPr>
          <w:rFonts w:eastAsiaTheme="minorEastAsia"/>
          <w:lang w:eastAsia="zh-TW"/>
        </w:rPr>
      </w:pPr>
      <w:r w:rsidRPr="0007131D">
        <w:rPr>
          <w:rFonts w:eastAsiaTheme="minorEastAsia"/>
          <w:lang w:eastAsia="zh-TW"/>
        </w:rPr>
        <w:t>Three major BWP switching scenarios can be identified:</w:t>
      </w:r>
    </w:p>
    <w:p w14:paraId="6BD16854" w14:textId="77777777" w:rsidR="0007131D" w:rsidRPr="0007131D" w:rsidRDefault="0007131D" w:rsidP="00E272F0">
      <w:pPr>
        <w:numPr>
          <w:ilvl w:val="0"/>
          <w:numId w:val="28"/>
        </w:numPr>
        <w:rPr>
          <w:rFonts w:eastAsiaTheme="minorEastAsia"/>
          <w:lang w:eastAsia="zh-TW"/>
        </w:rPr>
      </w:pPr>
      <w:r w:rsidRPr="0007131D">
        <w:rPr>
          <w:rFonts w:eastAsiaTheme="minorEastAsia"/>
          <w:b/>
          <w:bCs/>
          <w:lang w:eastAsia="zh-TW"/>
        </w:rPr>
        <w:t>Bandwidth change:</w:t>
      </w:r>
      <w:r w:rsidRPr="0007131D">
        <w:rPr>
          <w:rFonts w:eastAsiaTheme="minorEastAsia"/>
          <w:lang w:eastAsia="zh-TW"/>
        </w:rPr>
        <w:t xml:space="preserve"> The scheduled bandwidth is changed, but center frequency remains the same. This scenario is typically used for energy saving.</w:t>
      </w:r>
    </w:p>
    <w:p w14:paraId="5B9C502E" w14:textId="77777777" w:rsidR="0007131D" w:rsidRPr="0007131D" w:rsidRDefault="0007131D" w:rsidP="00E272F0">
      <w:pPr>
        <w:numPr>
          <w:ilvl w:val="0"/>
          <w:numId w:val="28"/>
        </w:numPr>
        <w:rPr>
          <w:rFonts w:eastAsiaTheme="minorEastAsia"/>
          <w:lang w:eastAsia="zh-TW"/>
        </w:rPr>
      </w:pPr>
      <w:r w:rsidRPr="0007131D">
        <w:rPr>
          <w:rFonts w:eastAsiaTheme="minorEastAsia"/>
          <w:b/>
          <w:bCs/>
          <w:lang w:eastAsia="zh-TW"/>
        </w:rPr>
        <w:t>Center frequency change:</w:t>
      </w:r>
      <w:r w:rsidRPr="0007131D">
        <w:rPr>
          <w:rFonts w:eastAsiaTheme="minorEastAsia"/>
          <w:lang w:eastAsia="zh-TW"/>
        </w:rPr>
        <w:t xml:space="preserve"> The center frequency of the BWP is changed, while bandwidth remains unchanged. This scenario is mainly used for network load balancing.</w:t>
      </w:r>
    </w:p>
    <w:p w14:paraId="16BCE3AF" w14:textId="77777777" w:rsidR="0007131D" w:rsidRPr="0007131D" w:rsidRDefault="0007131D" w:rsidP="00E272F0">
      <w:pPr>
        <w:numPr>
          <w:ilvl w:val="0"/>
          <w:numId w:val="28"/>
        </w:numPr>
        <w:rPr>
          <w:rFonts w:eastAsiaTheme="minorEastAsia"/>
          <w:lang w:eastAsia="zh-TW"/>
        </w:rPr>
      </w:pPr>
      <w:r w:rsidRPr="0007131D">
        <w:rPr>
          <w:rFonts w:eastAsiaTheme="minorEastAsia"/>
          <w:b/>
          <w:bCs/>
          <w:lang w:eastAsia="zh-TW"/>
        </w:rPr>
        <w:t>Bandwidth and center frequency change:</w:t>
      </w:r>
      <w:r w:rsidRPr="0007131D">
        <w:rPr>
          <w:rFonts w:eastAsiaTheme="minorEastAsia"/>
          <w:lang w:eastAsia="zh-TW"/>
        </w:rPr>
        <w:t xml:space="preserve"> Both scheduled bandwidth and center frequency can be changed simultaneously for more flexible resource management.</w:t>
      </w:r>
    </w:p>
    <w:p w14:paraId="6777646C" w14:textId="7EB2E699" w:rsidR="0007131D" w:rsidRPr="0007131D" w:rsidRDefault="0007131D" w:rsidP="0007131D">
      <w:pPr>
        <w:rPr>
          <w:rFonts w:eastAsiaTheme="minorEastAsia"/>
          <w:lang w:eastAsia="zh-TW"/>
        </w:rPr>
      </w:pPr>
      <w:r w:rsidRPr="0007131D">
        <w:rPr>
          <w:rFonts w:eastAsiaTheme="minorEastAsia"/>
          <w:lang w:eastAsia="zh-TW"/>
        </w:rPr>
        <w:t xml:space="preserve">In general, BWP switches that do not involve center frequency change (with or without bandwidth change) can be completed more quickly than those involving center frequency change. Therefore, 6G should support these typical BWP switching scenarios and further discuss whether different switching </w:t>
      </w:r>
      <w:r w:rsidR="006A2CE9">
        <w:rPr>
          <w:rFonts w:eastAsiaTheme="minorEastAsia"/>
          <w:lang w:eastAsia="zh-TW"/>
        </w:rPr>
        <w:t>delay</w:t>
      </w:r>
      <w:r w:rsidRPr="0007131D">
        <w:rPr>
          <w:rFonts w:eastAsiaTheme="minorEastAsia"/>
          <w:lang w:eastAsia="zh-TW"/>
        </w:rPr>
        <w:t xml:space="preserve"> requirements for each case.</w:t>
      </w:r>
    </w:p>
    <w:p w14:paraId="6A5477BF" w14:textId="561496AD" w:rsidR="0007131D" w:rsidRPr="0007131D" w:rsidRDefault="0007131D" w:rsidP="0007131D">
      <w:pPr>
        <w:rPr>
          <w:rFonts w:eastAsiaTheme="minorEastAsia"/>
          <w:b/>
          <w:lang w:eastAsia="zh-TW"/>
        </w:rPr>
      </w:pPr>
      <w:bookmarkStart w:id="18" w:name="_Ref220682332"/>
      <w:r w:rsidRPr="0007131D">
        <w:rPr>
          <w:rFonts w:eastAsiaTheme="minorEastAsia"/>
          <w:b/>
          <w:lang w:eastAsia="zh-TW"/>
        </w:rPr>
        <w:t xml:space="preserve">Proposal </w:t>
      </w:r>
      <w:r w:rsidRPr="0007131D">
        <w:rPr>
          <w:rFonts w:eastAsiaTheme="minorEastAsia"/>
          <w:b/>
          <w:lang w:eastAsia="zh-TW"/>
        </w:rPr>
        <w:fldChar w:fldCharType="begin"/>
      </w:r>
      <w:r w:rsidRPr="0007131D">
        <w:rPr>
          <w:rFonts w:eastAsiaTheme="minorEastAsia"/>
          <w:b/>
          <w:lang w:eastAsia="zh-TW"/>
        </w:rPr>
        <w:instrText xml:space="preserve"> SEQ Proposal \* ARABIC </w:instrText>
      </w:r>
      <w:r w:rsidRPr="0007131D">
        <w:rPr>
          <w:rFonts w:eastAsiaTheme="minorEastAsia"/>
          <w:b/>
          <w:lang w:eastAsia="zh-TW"/>
        </w:rPr>
        <w:fldChar w:fldCharType="separate"/>
      </w:r>
      <w:r w:rsidR="00482437">
        <w:rPr>
          <w:rFonts w:eastAsiaTheme="minorEastAsia"/>
          <w:b/>
          <w:noProof/>
          <w:lang w:eastAsia="zh-TW"/>
        </w:rPr>
        <w:t>10</w:t>
      </w:r>
      <w:r w:rsidRPr="0007131D">
        <w:rPr>
          <w:rFonts w:eastAsiaTheme="minorEastAsia"/>
          <w:lang w:eastAsia="zh-TW"/>
        </w:rPr>
        <w:fldChar w:fldCharType="end"/>
      </w:r>
      <w:r w:rsidRPr="0007131D">
        <w:rPr>
          <w:rFonts w:eastAsiaTheme="minorEastAsia"/>
          <w:b/>
          <w:lang w:eastAsia="zh-TW"/>
        </w:rPr>
        <w:t>: For BWP switching in RRC connected mode, support the following BWP switching scenarios</w:t>
      </w:r>
      <w:bookmarkEnd w:id="18"/>
    </w:p>
    <w:p w14:paraId="4582C589" w14:textId="70125C51" w:rsidR="0007131D" w:rsidRPr="0007131D" w:rsidRDefault="0007131D" w:rsidP="00E272F0">
      <w:pPr>
        <w:numPr>
          <w:ilvl w:val="0"/>
          <w:numId w:val="27"/>
        </w:numPr>
        <w:rPr>
          <w:rFonts w:eastAsiaTheme="minorEastAsia"/>
          <w:b/>
          <w:bCs/>
          <w:lang w:eastAsia="zh-TW"/>
        </w:rPr>
      </w:pPr>
      <w:r w:rsidRPr="0007131D">
        <w:rPr>
          <w:rFonts w:eastAsiaTheme="minorEastAsia"/>
          <w:b/>
          <w:bCs/>
          <w:lang w:eastAsia="zh-TW"/>
        </w:rPr>
        <w:t>Scenario 1: Support bandwidth change without center frequency</w:t>
      </w:r>
      <w:r w:rsidR="00E842BD">
        <w:rPr>
          <w:rFonts w:eastAsiaTheme="minorEastAsia"/>
          <w:b/>
          <w:bCs/>
          <w:lang w:eastAsia="zh-TW"/>
        </w:rPr>
        <w:t xml:space="preserve"> change</w:t>
      </w:r>
      <w:r w:rsidRPr="0007131D">
        <w:rPr>
          <w:rFonts w:eastAsiaTheme="minorEastAsia"/>
          <w:b/>
          <w:bCs/>
          <w:lang w:eastAsia="zh-TW"/>
        </w:rPr>
        <w:t xml:space="preserve"> </w:t>
      </w:r>
    </w:p>
    <w:p w14:paraId="44E0E8DE" w14:textId="08BA7E25" w:rsidR="0007131D" w:rsidRPr="0007131D" w:rsidRDefault="0007131D" w:rsidP="00E272F0">
      <w:pPr>
        <w:numPr>
          <w:ilvl w:val="0"/>
          <w:numId w:val="27"/>
        </w:numPr>
        <w:rPr>
          <w:rFonts w:eastAsiaTheme="minorEastAsia"/>
          <w:b/>
          <w:bCs/>
          <w:lang w:eastAsia="zh-TW"/>
        </w:rPr>
      </w:pPr>
      <w:r w:rsidRPr="0007131D">
        <w:rPr>
          <w:rFonts w:eastAsiaTheme="minorEastAsia"/>
          <w:b/>
          <w:bCs/>
          <w:lang w:eastAsia="zh-TW"/>
        </w:rPr>
        <w:t>Scenario 2: Support center frequency change without bandwidth</w:t>
      </w:r>
      <w:r w:rsidR="00084514">
        <w:rPr>
          <w:rFonts w:eastAsiaTheme="minorEastAsia"/>
          <w:b/>
          <w:bCs/>
          <w:lang w:eastAsia="zh-TW"/>
        </w:rPr>
        <w:t xml:space="preserve"> change</w:t>
      </w:r>
      <w:r w:rsidRPr="0007131D">
        <w:rPr>
          <w:rFonts w:eastAsiaTheme="minorEastAsia"/>
          <w:b/>
          <w:bCs/>
          <w:lang w:eastAsia="zh-TW"/>
        </w:rPr>
        <w:t xml:space="preserve"> </w:t>
      </w:r>
    </w:p>
    <w:p w14:paraId="03526D29" w14:textId="77777777" w:rsidR="0007131D" w:rsidRPr="0007131D" w:rsidRDefault="0007131D" w:rsidP="00E272F0">
      <w:pPr>
        <w:numPr>
          <w:ilvl w:val="0"/>
          <w:numId w:val="27"/>
        </w:numPr>
        <w:rPr>
          <w:rFonts w:eastAsiaTheme="minorEastAsia"/>
          <w:b/>
          <w:bCs/>
          <w:lang w:eastAsia="zh-TW"/>
        </w:rPr>
      </w:pPr>
      <w:r w:rsidRPr="0007131D">
        <w:rPr>
          <w:rFonts w:eastAsiaTheme="minorEastAsia"/>
          <w:b/>
          <w:bCs/>
          <w:lang w:eastAsia="zh-TW"/>
        </w:rPr>
        <w:t>Scenario 3: Support both bandwidth and center frequency change</w:t>
      </w:r>
    </w:p>
    <w:p w14:paraId="0C326F93" w14:textId="77777777" w:rsidR="0007131D" w:rsidRPr="0007131D" w:rsidRDefault="0007131D" w:rsidP="0007131D">
      <w:pPr>
        <w:rPr>
          <w:rFonts w:eastAsiaTheme="minorEastAsia"/>
          <w:lang w:eastAsia="zh-TW"/>
        </w:rPr>
      </w:pPr>
    </w:p>
    <w:p w14:paraId="05EF1E4B" w14:textId="77777777" w:rsidR="0007131D" w:rsidRPr="0007131D" w:rsidRDefault="0007131D" w:rsidP="0007131D">
      <w:pPr>
        <w:rPr>
          <w:rFonts w:eastAsiaTheme="minorEastAsia"/>
          <w:lang w:eastAsia="zh-TW"/>
        </w:rPr>
      </w:pPr>
      <w:r w:rsidRPr="0007131D">
        <w:rPr>
          <w:rFonts w:eastAsiaTheme="minorEastAsia"/>
          <w:lang w:eastAsia="zh-TW"/>
        </w:rPr>
        <w:t>5G NR supports several mechanisms for BWP switching in RRC connected mode:</w:t>
      </w:r>
    </w:p>
    <w:p w14:paraId="4169DD15" w14:textId="77777777" w:rsidR="0007131D" w:rsidRPr="0007131D" w:rsidRDefault="0007131D" w:rsidP="00E272F0">
      <w:pPr>
        <w:numPr>
          <w:ilvl w:val="0"/>
          <w:numId w:val="29"/>
        </w:numPr>
        <w:rPr>
          <w:rFonts w:eastAsiaTheme="minorEastAsia"/>
          <w:lang w:eastAsia="zh-TW"/>
        </w:rPr>
      </w:pPr>
      <w:r w:rsidRPr="0007131D">
        <w:rPr>
          <w:rFonts w:eastAsiaTheme="minorEastAsia"/>
          <w:b/>
          <w:bCs/>
          <w:lang w:eastAsia="zh-TW"/>
        </w:rPr>
        <w:lastRenderedPageBreak/>
        <w:t>RRC-based BWP switching:</w:t>
      </w:r>
      <w:r w:rsidRPr="0007131D">
        <w:rPr>
          <w:rFonts w:eastAsiaTheme="minorEastAsia"/>
          <w:lang w:eastAsia="zh-TW"/>
        </w:rPr>
        <w:t xml:space="preserve"> Performed via RRC signaling for reconfiguration. This method is slow and less efficient, and its practical benefit is limited.</w:t>
      </w:r>
    </w:p>
    <w:p w14:paraId="155341E8" w14:textId="77777777" w:rsidR="0007131D" w:rsidRPr="0007131D" w:rsidRDefault="0007131D" w:rsidP="00E272F0">
      <w:pPr>
        <w:numPr>
          <w:ilvl w:val="0"/>
          <w:numId w:val="29"/>
        </w:numPr>
        <w:rPr>
          <w:rFonts w:eastAsiaTheme="minorEastAsia"/>
          <w:lang w:eastAsia="zh-TW"/>
        </w:rPr>
      </w:pPr>
      <w:r w:rsidRPr="0007131D">
        <w:rPr>
          <w:rFonts w:eastAsiaTheme="minorEastAsia"/>
          <w:b/>
          <w:bCs/>
          <w:lang w:eastAsia="zh-TW"/>
        </w:rPr>
        <w:t>DCI-based BWP switching:</w:t>
      </w:r>
      <w:r w:rsidRPr="0007131D">
        <w:rPr>
          <w:rFonts w:eastAsiaTheme="minorEastAsia"/>
          <w:lang w:eastAsia="zh-TW"/>
        </w:rPr>
        <w:t xml:space="preserve"> Triggered via scheduling DCI (e.g., using the BWP indicator field). This mechanism enables fast and efficient switching, and is well-suited for dynamic scheduling needs.</w:t>
      </w:r>
    </w:p>
    <w:p w14:paraId="3614149C" w14:textId="0D38CFB6" w:rsidR="0007131D" w:rsidRPr="0007131D" w:rsidRDefault="0007131D" w:rsidP="00E272F0">
      <w:pPr>
        <w:numPr>
          <w:ilvl w:val="0"/>
          <w:numId w:val="29"/>
        </w:numPr>
        <w:rPr>
          <w:rFonts w:eastAsiaTheme="minorEastAsia"/>
          <w:lang w:eastAsia="zh-TW"/>
        </w:rPr>
      </w:pPr>
      <w:r w:rsidRPr="0007131D">
        <w:rPr>
          <w:rFonts w:eastAsiaTheme="minorEastAsia"/>
          <w:b/>
          <w:bCs/>
          <w:lang w:eastAsia="zh-TW"/>
        </w:rPr>
        <w:t>Timer-based BWP switching:</w:t>
      </w:r>
      <w:r w:rsidRPr="0007131D">
        <w:rPr>
          <w:rFonts w:eastAsiaTheme="minorEastAsia"/>
          <w:lang w:eastAsia="zh-TW"/>
        </w:rPr>
        <w:t xml:space="preserve"> The UE can autonomously revert to a configured default BWP when a BWP inactivity timer expires. This serves as a reliable fallback, especially when no DCI is received for a period</w:t>
      </w:r>
      <w:r w:rsidR="00CE51DD">
        <w:rPr>
          <w:rFonts w:eastAsiaTheme="minorEastAsia"/>
          <w:lang w:eastAsia="zh-TW"/>
        </w:rPr>
        <w:t xml:space="preserve"> of time</w:t>
      </w:r>
      <w:r w:rsidRPr="0007131D">
        <w:rPr>
          <w:rFonts w:eastAsiaTheme="minorEastAsia"/>
          <w:lang w:eastAsia="zh-TW"/>
        </w:rPr>
        <w:t>, and can also support autonomous UE energy savings.</w:t>
      </w:r>
    </w:p>
    <w:p w14:paraId="3B676868" w14:textId="77777777" w:rsidR="0007131D" w:rsidRPr="0007131D" w:rsidRDefault="0007131D" w:rsidP="0007131D">
      <w:pPr>
        <w:rPr>
          <w:rFonts w:eastAsiaTheme="minorEastAsia"/>
          <w:lang w:eastAsia="zh-TW"/>
        </w:rPr>
      </w:pPr>
      <w:r w:rsidRPr="0007131D">
        <w:rPr>
          <w:rFonts w:eastAsiaTheme="minorEastAsia"/>
          <w:lang w:eastAsia="zh-TW"/>
        </w:rPr>
        <w:t>Among these methods, DCI-based BWP switching provides the fastest adaptation. Timer-based BWP switching serves as an important fallback mechanism to help maintain synchronization between network and UE, and can also enable autonomous switching for enhanced energy savings at the UE. In contrast, RRC-based BWP switching offers limited advantages. To simplify the BWP framework and switching procedures in 6G, it is recommended that 6G prioritize DCI-based and timer-based BWP switching mechanisms.</w:t>
      </w:r>
    </w:p>
    <w:p w14:paraId="091D3F6B" w14:textId="78E45782" w:rsidR="0007131D" w:rsidRPr="0007131D" w:rsidRDefault="0007131D" w:rsidP="0007131D">
      <w:pPr>
        <w:rPr>
          <w:rFonts w:eastAsiaTheme="minorEastAsia"/>
          <w:b/>
          <w:lang w:eastAsia="zh-TW"/>
        </w:rPr>
      </w:pPr>
      <w:bookmarkStart w:id="19" w:name="_Ref220681915"/>
      <w:r w:rsidRPr="0007131D">
        <w:rPr>
          <w:rFonts w:eastAsiaTheme="minorEastAsia"/>
          <w:b/>
          <w:lang w:eastAsia="zh-TW"/>
        </w:rPr>
        <w:t xml:space="preserve">Observation </w:t>
      </w:r>
      <w:r w:rsidRPr="0007131D">
        <w:rPr>
          <w:rFonts w:eastAsiaTheme="minorEastAsia"/>
          <w:b/>
          <w:lang w:eastAsia="zh-TW"/>
        </w:rPr>
        <w:fldChar w:fldCharType="begin"/>
      </w:r>
      <w:r w:rsidRPr="0007131D">
        <w:rPr>
          <w:rFonts w:eastAsiaTheme="minorEastAsia"/>
          <w:b/>
          <w:lang w:eastAsia="zh-TW"/>
        </w:rPr>
        <w:instrText xml:space="preserve"> SEQ Observation \* ARABIC </w:instrText>
      </w:r>
      <w:r w:rsidRPr="0007131D">
        <w:rPr>
          <w:rFonts w:eastAsiaTheme="minorEastAsia"/>
          <w:b/>
          <w:lang w:eastAsia="zh-TW"/>
        </w:rPr>
        <w:fldChar w:fldCharType="separate"/>
      </w:r>
      <w:r w:rsidR="00482437">
        <w:rPr>
          <w:rFonts w:eastAsiaTheme="minorEastAsia"/>
          <w:b/>
          <w:noProof/>
          <w:lang w:eastAsia="zh-TW"/>
        </w:rPr>
        <w:t>7</w:t>
      </w:r>
      <w:r w:rsidRPr="0007131D">
        <w:rPr>
          <w:rFonts w:eastAsiaTheme="minorEastAsia"/>
          <w:lang w:eastAsia="zh-TW"/>
        </w:rPr>
        <w:fldChar w:fldCharType="end"/>
      </w:r>
      <w:r w:rsidRPr="0007131D">
        <w:rPr>
          <w:rFonts w:eastAsiaTheme="minorEastAsia"/>
          <w:b/>
          <w:lang w:eastAsia="zh-TW"/>
        </w:rPr>
        <w:t>: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bookmarkEnd w:id="19"/>
    </w:p>
    <w:p w14:paraId="421692FC" w14:textId="430C1E90" w:rsidR="0007131D" w:rsidRPr="0007131D" w:rsidRDefault="0007131D" w:rsidP="0007131D">
      <w:pPr>
        <w:rPr>
          <w:rFonts w:eastAsiaTheme="minorEastAsia"/>
          <w:b/>
          <w:lang w:eastAsia="zh-TW"/>
        </w:rPr>
      </w:pPr>
      <w:bookmarkStart w:id="20" w:name="_Ref220682363"/>
      <w:r w:rsidRPr="0007131D">
        <w:rPr>
          <w:rFonts w:eastAsiaTheme="minorEastAsia"/>
          <w:b/>
          <w:lang w:eastAsia="zh-TW"/>
        </w:rPr>
        <w:t xml:space="preserve">Proposal </w:t>
      </w:r>
      <w:r w:rsidRPr="0007131D">
        <w:rPr>
          <w:rFonts w:eastAsiaTheme="minorEastAsia"/>
          <w:b/>
          <w:lang w:eastAsia="zh-TW"/>
        </w:rPr>
        <w:fldChar w:fldCharType="begin"/>
      </w:r>
      <w:r w:rsidRPr="0007131D">
        <w:rPr>
          <w:rFonts w:eastAsiaTheme="minorEastAsia"/>
          <w:b/>
          <w:lang w:eastAsia="zh-TW"/>
        </w:rPr>
        <w:instrText xml:space="preserve"> SEQ Proposal \* ARABIC </w:instrText>
      </w:r>
      <w:r w:rsidRPr="0007131D">
        <w:rPr>
          <w:rFonts w:eastAsiaTheme="minorEastAsia"/>
          <w:b/>
          <w:lang w:eastAsia="zh-TW"/>
        </w:rPr>
        <w:fldChar w:fldCharType="separate"/>
      </w:r>
      <w:r w:rsidR="00482437">
        <w:rPr>
          <w:rFonts w:eastAsiaTheme="minorEastAsia"/>
          <w:b/>
          <w:noProof/>
          <w:lang w:eastAsia="zh-TW"/>
        </w:rPr>
        <w:t>11</w:t>
      </w:r>
      <w:r w:rsidRPr="0007131D">
        <w:rPr>
          <w:rFonts w:eastAsiaTheme="minorEastAsia"/>
          <w:lang w:eastAsia="zh-TW"/>
        </w:rPr>
        <w:fldChar w:fldCharType="end"/>
      </w:r>
      <w:r w:rsidRPr="0007131D">
        <w:rPr>
          <w:rFonts w:eastAsiaTheme="minorEastAsia"/>
          <w:b/>
          <w:lang w:eastAsia="zh-TW"/>
        </w:rPr>
        <w:t>: Support the following BWP switch mechanisms for 6GR</w:t>
      </w:r>
      <w:bookmarkEnd w:id="20"/>
    </w:p>
    <w:p w14:paraId="7711A057" w14:textId="77777777" w:rsidR="0007131D" w:rsidRPr="0007131D" w:rsidRDefault="0007131D" w:rsidP="00E272F0">
      <w:pPr>
        <w:numPr>
          <w:ilvl w:val="0"/>
          <w:numId w:val="30"/>
        </w:numPr>
        <w:rPr>
          <w:rFonts w:eastAsiaTheme="minorEastAsia"/>
          <w:b/>
          <w:bCs/>
          <w:lang w:eastAsia="zh-TW"/>
        </w:rPr>
      </w:pPr>
      <w:r w:rsidRPr="0007131D">
        <w:rPr>
          <w:rFonts w:eastAsiaTheme="minorEastAsia"/>
          <w:b/>
          <w:bCs/>
          <w:lang w:eastAsia="zh-TW"/>
        </w:rPr>
        <w:t xml:space="preserve">DCI-based BWP switching </w:t>
      </w:r>
    </w:p>
    <w:p w14:paraId="7A411ECA" w14:textId="77777777" w:rsidR="0007131D" w:rsidRPr="0007131D" w:rsidRDefault="0007131D" w:rsidP="00E272F0">
      <w:pPr>
        <w:numPr>
          <w:ilvl w:val="0"/>
          <w:numId w:val="30"/>
        </w:numPr>
        <w:rPr>
          <w:rFonts w:eastAsiaTheme="minorEastAsia"/>
          <w:b/>
          <w:bCs/>
          <w:lang w:eastAsia="zh-TW"/>
        </w:rPr>
      </w:pPr>
      <w:r w:rsidRPr="0007131D">
        <w:rPr>
          <w:rFonts w:eastAsiaTheme="minorEastAsia"/>
          <w:b/>
          <w:bCs/>
          <w:lang w:eastAsia="zh-TW"/>
        </w:rPr>
        <w:t xml:space="preserve">Timer-based BWP switching as fallback for DCI-based BWP switching </w:t>
      </w:r>
    </w:p>
    <w:p w14:paraId="06974B35" w14:textId="341C8019" w:rsidR="00776D6A" w:rsidRPr="0007131D" w:rsidRDefault="00776D6A" w:rsidP="00776D6A">
      <w:pPr>
        <w:rPr>
          <w:rFonts w:eastAsiaTheme="minorEastAsia"/>
          <w:lang w:eastAsia="zh-TW"/>
        </w:rPr>
      </w:pPr>
    </w:p>
    <w:p w14:paraId="79FD378A" w14:textId="6F4EDC7B" w:rsidR="00776D6A" w:rsidRPr="00DD7B72" w:rsidRDefault="00776D6A" w:rsidP="00275370">
      <w:pPr>
        <w:pStyle w:val="Heading3"/>
        <w:rPr>
          <w:rFonts w:eastAsiaTheme="minorEastAsia"/>
          <w:lang w:eastAsia="zh-TW"/>
        </w:rPr>
      </w:pPr>
      <w:r>
        <w:rPr>
          <w:rFonts w:eastAsiaTheme="minorEastAsia"/>
          <w:lang w:eastAsia="zh-TW"/>
        </w:rPr>
        <w:t>BWP Switch</w:t>
      </w:r>
      <w:r w:rsidR="00487433">
        <w:rPr>
          <w:rFonts w:eastAsiaTheme="minorEastAsia"/>
          <w:lang w:eastAsia="zh-TW"/>
        </w:rPr>
        <w:t xml:space="preserve"> Interruption</w:t>
      </w:r>
      <w:r>
        <w:rPr>
          <w:rFonts w:eastAsiaTheme="minorEastAsia"/>
          <w:lang w:eastAsia="zh-TW"/>
        </w:rPr>
        <w:t xml:space="preserve"> </w:t>
      </w:r>
      <w:r w:rsidR="008229C3">
        <w:rPr>
          <w:rFonts w:eastAsiaTheme="minorEastAsia"/>
          <w:lang w:eastAsia="zh-TW"/>
        </w:rPr>
        <w:t>Reduction</w:t>
      </w:r>
    </w:p>
    <w:p w14:paraId="6D5DFE23" w14:textId="77777777" w:rsidR="0007131D" w:rsidRPr="0007131D" w:rsidRDefault="0007131D" w:rsidP="0007131D">
      <w:pPr>
        <w:rPr>
          <w:rFonts w:eastAsiaTheme="minorEastAsia"/>
          <w:bCs/>
          <w:lang w:eastAsia="zh-TW"/>
        </w:rPr>
      </w:pPr>
      <w:r w:rsidRPr="0007131D">
        <w:rPr>
          <w:rFonts w:eastAsiaTheme="minorEastAsia"/>
          <w:bCs/>
          <w:lang w:eastAsia="zh-TW"/>
        </w:rPr>
        <w:t xml:space="preserve">One of the key pain points of the NR BWP framework is inefficient BWP switching, mainly due to: (1) long BWP switch delay and (2) the coupling of BWP switch delay with interruption period. Two main causes of long switch time are heavy BWP-specific RRC configurations and the late involvement of RAN4 in parameter optimization. </w:t>
      </w:r>
    </w:p>
    <w:p w14:paraId="49EB7B8D" w14:textId="7EC5269B" w:rsidR="0007131D" w:rsidRPr="0007131D" w:rsidRDefault="0007131D" w:rsidP="0007131D">
      <w:pPr>
        <w:rPr>
          <w:rFonts w:eastAsiaTheme="minorEastAsia"/>
          <w:bCs/>
          <w:lang w:eastAsia="zh-TW"/>
        </w:rPr>
      </w:pPr>
      <w:r w:rsidRPr="0007131D">
        <w:rPr>
          <w:rFonts w:eastAsiaTheme="minorEastAsia"/>
          <w:bCs/>
          <w:lang w:eastAsia="zh-TW"/>
        </w:rPr>
        <w:t xml:space="preserve">To address the coupling between switch delay and interruption time, 6G can decouple the interruption time from the overall BWP switch delay, as illustrated in </w:t>
      </w:r>
      <w:r w:rsidR="00AF2A65" w:rsidRPr="00AF2A65">
        <w:rPr>
          <w:rFonts w:eastAsiaTheme="minorEastAsia"/>
          <w:bCs/>
          <w:lang w:eastAsia="zh-TW"/>
        </w:rPr>
        <w:fldChar w:fldCharType="begin"/>
      </w:r>
      <w:r w:rsidR="00AF2A65" w:rsidRPr="00AF2A65">
        <w:rPr>
          <w:rFonts w:eastAsiaTheme="minorEastAsia"/>
          <w:bCs/>
          <w:lang w:eastAsia="zh-TW"/>
        </w:rPr>
        <w:instrText xml:space="preserve"> REF _Ref220627924 \h  \* MERGEFORMAT </w:instrText>
      </w:r>
      <w:r w:rsidR="00AF2A65" w:rsidRPr="00AF2A65">
        <w:rPr>
          <w:rFonts w:eastAsiaTheme="minorEastAsia"/>
          <w:bCs/>
          <w:lang w:eastAsia="zh-TW"/>
        </w:rPr>
      </w:r>
      <w:r w:rsidR="00AF2A65" w:rsidRPr="00AF2A65">
        <w:rPr>
          <w:rFonts w:eastAsiaTheme="minorEastAsia"/>
          <w:bCs/>
          <w:lang w:eastAsia="zh-TW"/>
        </w:rPr>
        <w:fldChar w:fldCharType="separate"/>
      </w:r>
      <w:r w:rsidR="00482437" w:rsidRPr="00AF2A65">
        <w:rPr>
          <w:bCs/>
        </w:rPr>
        <w:t xml:space="preserve">Figure </w:t>
      </w:r>
      <w:r w:rsidR="00482437" w:rsidRPr="00482437">
        <w:rPr>
          <w:bCs/>
          <w:noProof/>
        </w:rPr>
        <w:t>4</w:t>
      </w:r>
      <w:r w:rsidR="00AF2A65" w:rsidRPr="00AF2A65">
        <w:rPr>
          <w:rFonts w:eastAsiaTheme="minorEastAsia"/>
          <w:bCs/>
          <w:lang w:eastAsia="zh-TW"/>
        </w:rPr>
        <w:fldChar w:fldCharType="end"/>
      </w:r>
      <w:r w:rsidR="00AF2A65" w:rsidRPr="00AF2A65">
        <w:rPr>
          <w:rFonts w:eastAsiaTheme="minorEastAsia" w:hint="eastAsia"/>
          <w:bCs/>
          <w:lang w:eastAsia="zh-TW"/>
        </w:rPr>
        <w:t>:</w:t>
      </w:r>
    </w:p>
    <w:p w14:paraId="69EFBAFE" w14:textId="77777777" w:rsidR="0007131D" w:rsidRPr="0007131D" w:rsidRDefault="0007131D" w:rsidP="00E272F0">
      <w:pPr>
        <w:numPr>
          <w:ilvl w:val="0"/>
          <w:numId w:val="31"/>
        </w:numPr>
        <w:rPr>
          <w:rFonts w:eastAsiaTheme="minorEastAsia"/>
          <w:bCs/>
          <w:lang w:eastAsia="zh-TW"/>
        </w:rPr>
      </w:pPr>
      <w:r w:rsidRPr="0007131D">
        <w:rPr>
          <w:rFonts w:eastAsiaTheme="minorEastAsia"/>
          <w:bCs/>
          <w:lang w:eastAsia="zh-TW"/>
        </w:rPr>
        <w:t>UE processing time: The UE decodes the DCI that triggers the BWP switch while continuing to receive/transmit on the current BWP. This improves scheduling efficiency.</w:t>
      </w:r>
    </w:p>
    <w:p w14:paraId="2CE59C42" w14:textId="6B8B4FC1" w:rsidR="0007131D" w:rsidRPr="0007131D" w:rsidRDefault="0007131D" w:rsidP="00E272F0">
      <w:pPr>
        <w:numPr>
          <w:ilvl w:val="0"/>
          <w:numId w:val="31"/>
        </w:numPr>
        <w:rPr>
          <w:rFonts w:eastAsiaTheme="minorEastAsia"/>
          <w:bCs/>
          <w:lang w:eastAsia="zh-TW"/>
        </w:rPr>
      </w:pPr>
      <w:r w:rsidRPr="0007131D">
        <w:rPr>
          <w:rFonts w:eastAsiaTheme="minorEastAsia"/>
          <w:bCs/>
          <w:lang w:eastAsia="zh-TW"/>
        </w:rPr>
        <w:t xml:space="preserve">Interruption time: RF retuning and hardware reconfiguration are executed. During this period, data reception/transmission is not </w:t>
      </w:r>
      <w:r w:rsidR="004B304E">
        <w:rPr>
          <w:rFonts w:eastAsiaTheme="minorEastAsia"/>
          <w:bCs/>
          <w:lang w:eastAsia="zh-TW"/>
        </w:rPr>
        <w:t>expected</w:t>
      </w:r>
      <w:r w:rsidRPr="0007131D">
        <w:rPr>
          <w:rFonts w:eastAsiaTheme="minorEastAsia"/>
          <w:bCs/>
          <w:lang w:eastAsia="zh-TW"/>
        </w:rPr>
        <w:t>.</w:t>
      </w:r>
    </w:p>
    <w:p w14:paraId="7FA85EB9" w14:textId="77777777" w:rsidR="0007131D" w:rsidRPr="0007131D" w:rsidRDefault="0007131D" w:rsidP="0007131D">
      <w:pPr>
        <w:rPr>
          <w:rFonts w:eastAsiaTheme="minorEastAsia"/>
          <w:bCs/>
          <w:lang w:eastAsia="zh-TW"/>
        </w:rPr>
      </w:pPr>
    </w:p>
    <w:p w14:paraId="7946DBBC" w14:textId="77777777" w:rsidR="0007131D" w:rsidRPr="0007131D" w:rsidRDefault="0007131D" w:rsidP="0007131D">
      <w:pPr>
        <w:rPr>
          <w:rFonts w:eastAsiaTheme="minorEastAsia"/>
          <w:bCs/>
          <w:lang w:eastAsia="zh-TW"/>
        </w:rPr>
      </w:pPr>
      <w:r w:rsidRPr="0007131D">
        <w:rPr>
          <w:rFonts w:eastAsiaTheme="minorEastAsia"/>
          <w:bCs/>
          <w:lang w:eastAsia="zh-TW"/>
        </w:rPr>
        <w:t>By separating these phases, the actual service interruption can be minimized and bounded, improving user experience and system efficiency.</w:t>
      </w:r>
    </w:p>
    <w:p w14:paraId="2E68B74E" w14:textId="2D47BDA4" w:rsidR="0007131D" w:rsidRPr="0007131D" w:rsidRDefault="0007131D" w:rsidP="0007131D">
      <w:pPr>
        <w:jc w:val="center"/>
        <w:rPr>
          <w:rFonts w:eastAsiaTheme="minorEastAsia"/>
          <w:bCs/>
          <w:lang w:eastAsia="zh-TW"/>
        </w:rPr>
      </w:pPr>
      <w:r w:rsidRPr="0007131D">
        <w:rPr>
          <w:rFonts w:eastAsiaTheme="minorEastAsia"/>
          <w:noProof/>
          <w:lang w:eastAsia="zh-TW"/>
        </w:rPr>
        <w:drawing>
          <wp:inline distT="0" distB="0" distL="0" distR="0" wp14:anchorId="000C27C2" wp14:editId="19174892">
            <wp:extent cx="3524250" cy="635000"/>
            <wp:effectExtent l="0" t="0" r="0" b="0"/>
            <wp:docPr id="95279831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0" cy="635000"/>
                    </a:xfrm>
                    <a:prstGeom prst="rect">
                      <a:avLst/>
                    </a:prstGeom>
                    <a:noFill/>
                    <a:ln>
                      <a:noFill/>
                    </a:ln>
                  </pic:spPr>
                </pic:pic>
              </a:graphicData>
            </a:graphic>
          </wp:inline>
        </w:drawing>
      </w:r>
    </w:p>
    <w:p w14:paraId="024CF67E" w14:textId="35590B4C" w:rsidR="0007131D" w:rsidRPr="0007131D" w:rsidRDefault="00AF2A65" w:rsidP="00AF2A65">
      <w:pPr>
        <w:pStyle w:val="Caption"/>
        <w:jc w:val="center"/>
        <w:rPr>
          <w:rFonts w:eastAsiaTheme="minorEastAsia"/>
          <w:b w:val="0"/>
          <w:bCs/>
          <w:lang w:eastAsia="zh-TW"/>
        </w:rPr>
      </w:pPr>
      <w:bookmarkStart w:id="21" w:name="_Ref220627924"/>
      <w:r w:rsidRPr="00AF2A65">
        <w:rPr>
          <w:b w:val="0"/>
          <w:bCs/>
        </w:rPr>
        <w:t xml:space="preserve">Figure </w:t>
      </w:r>
      <w:r w:rsidRPr="00AF2A65">
        <w:rPr>
          <w:b w:val="0"/>
          <w:bCs/>
        </w:rPr>
        <w:fldChar w:fldCharType="begin"/>
      </w:r>
      <w:r w:rsidRPr="00AF2A65">
        <w:rPr>
          <w:b w:val="0"/>
          <w:bCs/>
        </w:rPr>
        <w:instrText xml:space="preserve"> SEQ Figure \* ARABIC </w:instrText>
      </w:r>
      <w:r w:rsidRPr="00AF2A65">
        <w:rPr>
          <w:b w:val="0"/>
          <w:bCs/>
        </w:rPr>
        <w:fldChar w:fldCharType="separate"/>
      </w:r>
      <w:r w:rsidR="00482437">
        <w:rPr>
          <w:b w:val="0"/>
          <w:bCs/>
          <w:noProof/>
        </w:rPr>
        <w:t>4</w:t>
      </w:r>
      <w:r w:rsidRPr="00AF2A65">
        <w:rPr>
          <w:b w:val="0"/>
          <w:bCs/>
        </w:rPr>
        <w:fldChar w:fldCharType="end"/>
      </w:r>
      <w:bookmarkEnd w:id="21"/>
      <w:r w:rsidRPr="00AF2A65">
        <w:rPr>
          <w:rFonts w:eastAsiaTheme="minorEastAsia" w:hint="eastAsia"/>
          <w:b w:val="0"/>
          <w:bCs/>
          <w:lang w:eastAsia="zh-TW"/>
        </w:rPr>
        <w:t>.</w:t>
      </w:r>
      <w:r w:rsidR="0007131D" w:rsidRPr="0007131D">
        <w:rPr>
          <w:rFonts w:eastAsiaTheme="minorEastAsia"/>
          <w:b w:val="0"/>
          <w:bCs/>
          <w:lang w:eastAsia="zh-TW"/>
        </w:rPr>
        <w:t xml:space="preserve"> Illustration of </w:t>
      </w:r>
      <w:r w:rsidR="00944631">
        <w:rPr>
          <w:rFonts w:eastAsiaTheme="minorEastAsia"/>
          <w:b w:val="0"/>
          <w:bCs/>
          <w:lang w:eastAsia="zh-TW"/>
        </w:rPr>
        <w:t xml:space="preserve">breakdown </w:t>
      </w:r>
      <w:r w:rsidR="0007131D" w:rsidRPr="0007131D">
        <w:rPr>
          <w:rFonts w:eastAsiaTheme="minorEastAsia"/>
          <w:b w:val="0"/>
          <w:bCs/>
          <w:lang w:eastAsia="zh-TW"/>
        </w:rPr>
        <w:t>of BWP switch delay</w:t>
      </w:r>
    </w:p>
    <w:p w14:paraId="5D98FA5E" w14:textId="77777777" w:rsidR="0007131D" w:rsidRPr="0007131D" w:rsidRDefault="0007131D" w:rsidP="0007131D">
      <w:pPr>
        <w:rPr>
          <w:rFonts w:eastAsiaTheme="minorEastAsia"/>
          <w:b/>
          <w:lang w:eastAsia="zh-TW"/>
        </w:rPr>
      </w:pPr>
    </w:p>
    <w:p w14:paraId="50C9C3A3" w14:textId="1B772171" w:rsidR="0007131D" w:rsidRPr="0007131D" w:rsidRDefault="0007131D" w:rsidP="0007131D">
      <w:pPr>
        <w:rPr>
          <w:rFonts w:eastAsiaTheme="minorEastAsia"/>
          <w:b/>
          <w:lang w:eastAsia="zh-TW"/>
        </w:rPr>
      </w:pPr>
      <w:bookmarkStart w:id="22" w:name="_Ref220681922"/>
      <w:r w:rsidRPr="0007131D">
        <w:rPr>
          <w:rFonts w:eastAsiaTheme="minorEastAsia"/>
          <w:b/>
          <w:lang w:eastAsia="zh-TW"/>
        </w:rPr>
        <w:t xml:space="preserve">Observation </w:t>
      </w:r>
      <w:r w:rsidRPr="0007131D">
        <w:rPr>
          <w:rFonts w:eastAsiaTheme="minorEastAsia"/>
          <w:b/>
          <w:lang w:eastAsia="zh-TW"/>
        </w:rPr>
        <w:fldChar w:fldCharType="begin"/>
      </w:r>
      <w:r w:rsidRPr="0007131D">
        <w:rPr>
          <w:rFonts w:eastAsiaTheme="minorEastAsia"/>
          <w:b/>
          <w:lang w:eastAsia="zh-TW"/>
        </w:rPr>
        <w:instrText xml:space="preserve"> SEQ Observation \* ARABIC </w:instrText>
      </w:r>
      <w:r w:rsidRPr="0007131D">
        <w:rPr>
          <w:rFonts w:eastAsiaTheme="minorEastAsia"/>
          <w:b/>
          <w:lang w:eastAsia="zh-TW"/>
        </w:rPr>
        <w:fldChar w:fldCharType="separate"/>
      </w:r>
      <w:r w:rsidR="00482437">
        <w:rPr>
          <w:rFonts w:eastAsiaTheme="minorEastAsia"/>
          <w:b/>
          <w:noProof/>
          <w:lang w:eastAsia="zh-TW"/>
        </w:rPr>
        <w:t>8</w:t>
      </w:r>
      <w:r w:rsidRPr="0007131D">
        <w:rPr>
          <w:rFonts w:eastAsiaTheme="minorEastAsia"/>
          <w:lang w:eastAsia="zh-TW"/>
        </w:rPr>
        <w:fldChar w:fldCharType="end"/>
      </w:r>
      <w:r w:rsidRPr="0007131D">
        <w:rPr>
          <w:rFonts w:eastAsiaTheme="minorEastAsia"/>
          <w:b/>
          <w:lang w:eastAsia="zh-TW"/>
        </w:rPr>
        <w:t>: The complexity and duration of BWP switching procedures are highly dependent on which parameters are changed during the switch. Coordinating with RAN4 to standardize a limited, well-defined subset of changeable parameters is key to enabling lean and fast BWP switching.</w:t>
      </w:r>
      <w:bookmarkEnd w:id="22"/>
    </w:p>
    <w:p w14:paraId="62B83768" w14:textId="410C56A3" w:rsidR="0007131D" w:rsidRPr="0007131D" w:rsidRDefault="0007131D" w:rsidP="0007131D">
      <w:pPr>
        <w:rPr>
          <w:rFonts w:eastAsiaTheme="minorEastAsia"/>
          <w:lang w:eastAsia="zh-TW"/>
        </w:rPr>
      </w:pPr>
      <w:bookmarkStart w:id="23" w:name="_Ref220681929"/>
      <w:r w:rsidRPr="0007131D">
        <w:rPr>
          <w:rFonts w:eastAsiaTheme="minorEastAsia"/>
          <w:b/>
          <w:lang w:eastAsia="zh-TW"/>
        </w:rPr>
        <w:t xml:space="preserve">Observation </w:t>
      </w:r>
      <w:r w:rsidRPr="0007131D">
        <w:rPr>
          <w:rFonts w:eastAsiaTheme="minorEastAsia"/>
          <w:b/>
          <w:lang w:eastAsia="zh-TW"/>
        </w:rPr>
        <w:fldChar w:fldCharType="begin"/>
      </w:r>
      <w:r w:rsidRPr="0007131D">
        <w:rPr>
          <w:rFonts w:eastAsiaTheme="minorEastAsia"/>
          <w:b/>
          <w:lang w:eastAsia="zh-TW"/>
        </w:rPr>
        <w:instrText xml:space="preserve"> SEQ Observation \* ARABIC </w:instrText>
      </w:r>
      <w:r w:rsidRPr="0007131D">
        <w:rPr>
          <w:rFonts w:eastAsiaTheme="minorEastAsia"/>
          <w:b/>
          <w:lang w:eastAsia="zh-TW"/>
        </w:rPr>
        <w:fldChar w:fldCharType="separate"/>
      </w:r>
      <w:r w:rsidR="00482437">
        <w:rPr>
          <w:rFonts w:eastAsiaTheme="minorEastAsia"/>
          <w:b/>
          <w:noProof/>
          <w:lang w:eastAsia="zh-TW"/>
        </w:rPr>
        <w:t>9</w:t>
      </w:r>
      <w:r w:rsidRPr="0007131D">
        <w:rPr>
          <w:rFonts w:eastAsiaTheme="minorEastAsia"/>
          <w:lang w:eastAsia="zh-TW"/>
        </w:rPr>
        <w:fldChar w:fldCharType="end"/>
      </w:r>
      <w:r w:rsidRPr="0007131D">
        <w:rPr>
          <w:rFonts w:eastAsiaTheme="minorEastAsia"/>
          <w:b/>
          <w:lang w:eastAsia="zh-TW"/>
        </w:rPr>
        <w:t>: In NR BWP, interruption time and switching delay are tightly coupled, meaning that DL/UL scheduling is unavailable throughout the switch duration. Decoupling these two parameters can significantly improve scheduling efficiency and user experience.</w:t>
      </w:r>
      <w:bookmarkEnd w:id="23"/>
    </w:p>
    <w:p w14:paraId="50328E6F" w14:textId="0B301235" w:rsidR="0007131D" w:rsidRPr="0007131D" w:rsidRDefault="0007131D" w:rsidP="0007131D">
      <w:pPr>
        <w:rPr>
          <w:rFonts w:eastAsiaTheme="minorEastAsia"/>
          <w:b/>
          <w:lang w:eastAsia="zh-TW"/>
        </w:rPr>
      </w:pPr>
      <w:bookmarkStart w:id="24" w:name="_Ref220682390"/>
      <w:r w:rsidRPr="0007131D">
        <w:rPr>
          <w:rFonts w:eastAsiaTheme="minorEastAsia"/>
          <w:b/>
          <w:lang w:eastAsia="zh-TW"/>
        </w:rPr>
        <w:lastRenderedPageBreak/>
        <w:t xml:space="preserve">Proposal </w:t>
      </w:r>
      <w:r w:rsidRPr="0007131D">
        <w:rPr>
          <w:rFonts w:eastAsiaTheme="minorEastAsia"/>
          <w:b/>
          <w:lang w:eastAsia="zh-TW"/>
        </w:rPr>
        <w:fldChar w:fldCharType="begin"/>
      </w:r>
      <w:r w:rsidRPr="0007131D">
        <w:rPr>
          <w:rFonts w:eastAsiaTheme="minorEastAsia"/>
          <w:b/>
          <w:lang w:eastAsia="zh-TW"/>
        </w:rPr>
        <w:instrText xml:space="preserve"> SEQ Proposal \* ARABIC </w:instrText>
      </w:r>
      <w:r w:rsidRPr="0007131D">
        <w:rPr>
          <w:rFonts w:eastAsiaTheme="minorEastAsia"/>
          <w:b/>
          <w:lang w:eastAsia="zh-TW"/>
        </w:rPr>
        <w:fldChar w:fldCharType="separate"/>
      </w:r>
      <w:r w:rsidR="00482437">
        <w:rPr>
          <w:rFonts w:eastAsiaTheme="minorEastAsia"/>
          <w:b/>
          <w:noProof/>
          <w:lang w:eastAsia="zh-TW"/>
        </w:rPr>
        <w:t>12</w:t>
      </w:r>
      <w:r w:rsidRPr="0007131D">
        <w:rPr>
          <w:rFonts w:eastAsiaTheme="minorEastAsia"/>
          <w:lang w:eastAsia="zh-TW"/>
        </w:rPr>
        <w:fldChar w:fldCharType="end"/>
      </w:r>
      <w:r w:rsidRPr="0007131D">
        <w:rPr>
          <w:rFonts w:eastAsiaTheme="minorEastAsia"/>
          <w:b/>
          <w:lang w:eastAsia="zh-TW"/>
        </w:rPr>
        <w:t>: For BWP switching in 6GR, decouple interruption time from BWP switching delay</w:t>
      </w:r>
      <w:bookmarkEnd w:id="24"/>
    </w:p>
    <w:p w14:paraId="3E8F299E" w14:textId="77777777" w:rsidR="0007131D" w:rsidRPr="0007131D" w:rsidRDefault="0007131D" w:rsidP="00E272F0">
      <w:pPr>
        <w:numPr>
          <w:ilvl w:val="0"/>
          <w:numId w:val="32"/>
        </w:numPr>
        <w:rPr>
          <w:rFonts w:eastAsiaTheme="minorEastAsia"/>
          <w:b/>
          <w:lang w:eastAsia="zh-TW"/>
        </w:rPr>
      </w:pPr>
      <w:r w:rsidRPr="0007131D">
        <w:rPr>
          <w:rFonts w:eastAsiaTheme="minorEastAsia"/>
          <w:b/>
          <w:lang w:eastAsia="zh-TW"/>
        </w:rPr>
        <w:t>No UE capability: Same interruption time and switching delay for all UEs</w:t>
      </w:r>
    </w:p>
    <w:p w14:paraId="153C5E74" w14:textId="77777777" w:rsidR="0007131D" w:rsidRPr="0007131D" w:rsidRDefault="0007131D" w:rsidP="00E272F0">
      <w:pPr>
        <w:numPr>
          <w:ilvl w:val="0"/>
          <w:numId w:val="32"/>
        </w:numPr>
        <w:rPr>
          <w:rFonts w:eastAsiaTheme="minorEastAsia"/>
          <w:b/>
          <w:lang w:eastAsia="zh-TW"/>
        </w:rPr>
      </w:pPr>
      <w:r w:rsidRPr="0007131D">
        <w:rPr>
          <w:rFonts w:eastAsiaTheme="minorEastAsia"/>
          <w:b/>
          <w:lang w:eastAsia="zh-TW"/>
        </w:rPr>
        <w:t>Note: DL/UL scheduling is only interrupted during interruption time</w:t>
      </w:r>
    </w:p>
    <w:p w14:paraId="480049A1" w14:textId="2FF53A74" w:rsidR="0007131D" w:rsidRPr="0007131D" w:rsidRDefault="0007131D" w:rsidP="0007131D">
      <w:pPr>
        <w:rPr>
          <w:rFonts w:eastAsiaTheme="minorEastAsia"/>
          <w:b/>
          <w:lang w:eastAsia="zh-TW"/>
        </w:rPr>
      </w:pPr>
      <w:bookmarkStart w:id="25" w:name="_Ref220682402"/>
      <w:r w:rsidRPr="0007131D">
        <w:rPr>
          <w:rFonts w:eastAsiaTheme="minorEastAsia"/>
          <w:b/>
          <w:lang w:eastAsia="zh-TW"/>
        </w:rPr>
        <w:t xml:space="preserve">Proposal </w:t>
      </w:r>
      <w:r w:rsidRPr="0007131D">
        <w:rPr>
          <w:rFonts w:eastAsiaTheme="minorEastAsia"/>
          <w:b/>
          <w:lang w:eastAsia="zh-TW"/>
        </w:rPr>
        <w:fldChar w:fldCharType="begin"/>
      </w:r>
      <w:r w:rsidRPr="0007131D">
        <w:rPr>
          <w:rFonts w:eastAsiaTheme="minorEastAsia"/>
          <w:b/>
          <w:lang w:eastAsia="zh-TW"/>
        </w:rPr>
        <w:instrText xml:space="preserve"> SEQ Proposal \* ARABIC </w:instrText>
      </w:r>
      <w:r w:rsidRPr="0007131D">
        <w:rPr>
          <w:rFonts w:eastAsiaTheme="minorEastAsia"/>
          <w:b/>
          <w:lang w:eastAsia="zh-TW"/>
        </w:rPr>
        <w:fldChar w:fldCharType="separate"/>
      </w:r>
      <w:r w:rsidR="00482437">
        <w:rPr>
          <w:rFonts w:eastAsiaTheme="minorEastAsia"/>
          <w:b/>
          <w:noProof/>
          <w:lang w:eastAsia="zh-TW"/>
        </w:rPr>
        <w:t>13</w:t>
      </w:r>
      <w:r w:rsidRPr="0007131D">
        <w:rPr>
          <w:rFonts w:eastAsiaTheme="minorEastAsia"/>
          <w:lang w:eastAsia="zh-TW"/>
        </w:rPr>
        <w:fldChar w:fldCharType="end"/>
      </w:r>
      <w:r w:rsidRPr="0007131D">
        <w:rPr>
          <w:rFonts w:eastAsiaTheme="minorEastAsia"/>
          <w:b/>
          <w:lang w:eastAsia="zh-TW"/>
        </w:rPr>
        <w:t>: Liaise with RAN4 on which subset of parameters can be allowed to be changed to ensure a lean and fast switching procedure.</w:t>
      </w:r>
      <w:bookmarkEnd w:id="25"/>
    </w:p>
    <w:p w14:paraId="4E1575E3" w14:textId="77777777" w:rsidR="0007131D" w:rsidRPr="0007131D" w:rsidRDefault="0007131D" w:rsidP="0007131D">
      <w:pPr>
        <w:rPr>
          <w:rFonts w:eastAsiaTheme="minorEastAsia"/>
          <w:lang w:eastAsia="zh-TW"/>
        </w:rPr>
      </w:pPr>
    </w:p>
    <w:p w14:paraId="60BA6B9A" w14:textId="2057493F" w:rsidR="0007131D" w:rsidRPr="0007131D" w:rsidRDefault="0007131D" w:rsidP="0007131D">
      <w:pPr>
        <w:rPr>
          <w:rFonts w:eastAsiaTheme="minorEastAsia"/>
          <w:lang w:eastAsia="zh-TW"/>
        </w:rPr>
      </w:pPr>
      <w:r w:rsidRPr="0007131D">
        <w:rPr>
          <w:rFonts w:eastAsiaTheme="minorEastAsia"/>
          <w:lang w:eastAsia="zh-TW"/>
        </w:rPr>
        <w:t>In NR TDD system, the DL and UL BWPs typically share the same center frequency and are switched jointly, even though DL and UL operational requirements may differ due to traffic demand or deployment scenarios. Decoupling DL and UL BWP switching in connected mode enables the network to independently optimize bandwidth allocation for each direction based on real-time requirements. BWP pairing can be maintained for initial access procedures to ensure smooth connection establishment. However, to further maximize resource utilization and coverage during initial access, it is reasonable to allow the initial DL BWP and initial UL BWP to be configured at different center frequencies, even for TDD system.</w:t>
      </w:r>
    </w:p>
    <w:p w14:paraId="6ABEDEB1" w14:textId="5286F869" w:rsidR="0007131D" w:rsidRPr="0007131D" w:rsidRDefault="0007131D" w:rsidP="0007131D">
      <w:pPr>
        <w:rPr>
          <w:rFonts w:eastAsiaTheme="minorEastAsia"/>
          <w:b/>
          <w:lang w:eastAsia="zh-TW"/>
        </w:rPr>
      </w:pPr>
      <w:bookmarkStart w:id="26" w:name="_Ref220681935"/>
      <w:r w:rsidRPr="0007131D">
        <w:rPr>
          <w:rFonts w:eastAsiaTheme="minorEastAsia"/>
          <w:b/>
          <w:lang w:eastAsia="zh-TW"/>
        </w:rPr>
        <w:t xml:space="preserve">Observation </w:t>
      </w:r>
      <w:r w:rsidRPr="0007131D">
        <w:rPr>
          <w:rFonts w:eastAsiaTheme="minorEastAsia"/>
          <w:b/>
          <w:lang w:eastAsia="zh-TW"/>
        </w:rPr>
        <w:fldChar w:fldCharType="begin"/>
      </w:r>
      <w:r w:rsidRPr="0007131D">
        <w:rPr>
          <w:rFonts w:eastAsiaTheme="minorEastAsia"/>
          <w:b/>
          <w:lang w:eastAsia="zh-TW"/>
        </w:rPr>
        <w:instrText xml:space="preserve"> SEQ Observation \* ARABIC </w:instrText>
      </w:r>
      <w:r w:rsidRPr="0007131D">
        <w:rPr>
          <w:rFonts w:eastAsiaTheme="minorEastAsia"/>
          <w:b/>
          <w:lang w:eastAsia="zh-TW"/>
        </w:rPr>
        <w:fldChar w:fldCharType="separate"/>
      </w:r>
      <w:r w:rsidR="00482437">
        <w:rPr>
          <w:rFonts w:eastAsiaTheme="minorEastAsia"/>
          <w:b/>
          <w:noProof/>
          <w:lang w:eastAsia="zh-TW"/>
        </w:rPr>
        <w:t>10</w:t>
      </w:r>
      <w:r w:rsidRPr="0007131D">
        <w:rPr>
          <w:rFonts w:eastAsiaTheme="minorEastAsia"/>
          <w:lang w:eastAsia="zh-TW"/>
        </w:rPr>
        <w:fldChar w:fldCharType="end"/>
      </w:r>
      <w:r w:rsidRPr="0007131D">
        <w:rPr>
          <w:rFonts w:eastAsiaTheme="minorEastAsia"/>
          <w:b/>
          <w:lang w:eastAsia="zh-TW"/>
        </w:rPr>
        <w:t>: Aligning the center frequency and switching of DL and UL BWPs is unnecessary in many operational scenarios. Decoupling DL and UL BWP switching enables more flexible and efficient resource allocation.</w:t>
      </w:r>
      <w:bookmarkEnd w:id="26"/>
    </w:p>
    <w:p w14:paraId="37720DC9" w14:textId="538EF90A" w:rsidR="0007131D" w:rsidRPr="0007131D" w:rsidRDefault="0007131D" w:rsidP="0007131D">
      <w:pPr>
        <w:rPr>
          <w:rFonts w:eastAsiaTheme="minorEastAsia"/>
          <w:b/>
          <w:lang w:eastAsia="zh-TW"/>
        </w:rPr>
      </w:pPr>
      <w:bookmarkStart w:id="27" w:name="_Ref220682414"/>
      <w:r w:rsidRPr="0007131D">
        <w:rPr>
          <w:rFonts w:eastAsiaTheme="minorEastAsia"/>
          <w:b/>
          <w:lang w:eastAsia="zh-TW"/>
        </w:rPr>
        <w:t xml:space="preserve">Proposal </w:t>
      </w:r>
      <w:r w:rsidRPr="0007131D">
        <w:rPr>
          <w:rFonts w:eastAsiaTheme="minorEastAsia"/>
          <w:b/>
          <w:lang w:eastAsia="zh-TW"/>
        </w:rPr>
        <w:fldChar w:fldCharType="begin"/>
      </w:r>
      <w:r w:rsidRPr="0007131D">
        <w:rPr>
          <w:rFonts w:eastAsiaTheme="minorEastAsia"/>
          <w:b/>
          <w:lang w:eastAsia="zh-TW"/>
        </w:rPr>
        <w:instrText xml:space="preserve"> SEQ Proposal \* ARABIC </w:instrText>
      </w:r>
      <w:r w:rsidRPr="0007131D">
        <w:rPr>
          <w:rFonts w:eastAsiaTheme="minorEastAsia"/>
          <w:b/>
          <w:lang w:eastAsia="zh-TW"/>
        </w:rPr>
        <w:fldChar w:fldCharType="separate"/>
      </w:r>
      <w:r w:rsidR="00482437">
        <w:rPr>
          <w:rFonts w:eastAsiaTheme="minorEastAsia"/>
          <w:b/>
          <w:noProof/>
          <w:lang w:eastAsia="zh-TW"/>
        </w:rPr>
        <w:t>14</w:t>
      </w:r>
      <w:r w:rsidRPr="0007131D">
        <w:rPr>
          <w:rFonts w:eastAsiaTheme="minorEastAsia"/>
          <w:lang w:eastAsia="zh-TW"/>
        </w:rPr>
        <w:fldChar w:fldCharType="end"/>
      </w:r>
      <w:r w:rsidRPr="0007131D">
        <w:rPr>
          <w:rFonts w:eastAsiaTheme="minorEastAsia"/>
          <w:b/>
          <w:lang w:eastAsia="zh-TW"/>
        </w:rPr>
        <w:t>: In principle, decouple DL and UL BWP switching.</w:t>
      </w:r>
      <w:bookmarkEnd w:id="27"/>
      <w:r w:rsidRPr="0007131D">
        <w:rPr>
          <w:rFonts w:eastAsiaTheme="minorEastAsia"/>
          <w:b/>
          <w:lang w:eastAsia="zh-TW"/>
        </w:rPr>
        <w:t xml:space="preserve"> </w:t>
      </w:r>
    </w:p>
    <w:p w14:paraId="36934874" w14:textId="2D87978F" w:rsidR="00776D6A" w:rsidRPr="00E272F0" w:rsidRDefault="0007131D" w:rsidP="00E272F0">
      <w:pPr>
        <w:pStyle w:val="ListParagraph"/>
        <w:numPr>
          <w:ilvl w:val="0"/>
          <w:numId w:val="36"/>
        </w:numPr>
        <w:ind w:firstLineChars="0"/>
        <w:rPr>
          <w:rFonts w:eastAsiaTheme="minorEastAsia"/>
          <w:sz w:val="20"/>
          <w:szCs w:val="20"/>
          <w:lang w:eastAsia="zh-TW"/>
        </w:rPr>
      </w:pPr>
      <w:r w:rsidRPr="00E272F0">
        <w:rPr>
          <w:rFonts w:eastAsiaTheme="minorEastAsia"/>
          <w:b/>
          <w:sz w:val="20"/>
          <w:szCs w:val="20"/>
          <w:lang w:eastAsia="zh-TW"/>
        </w:rPr>
        <w:t>BWP pairing only for initial DL and UL BWPs which can have different center frequencies, even in TDD.</w:t>
      </w:r>
    </w:p>
    <w:p w14:paraId="60E2CC9B" w14:textId="77777777" w:rsidR="00DD7B72" w:rsidRDefault="00DD7B72" w:rsidP="00776D6A">
      <w:pPr>
        <w:rPr>
          <w:rFonts w:eastAsiaTheme="minorEastAsia"/>
          <w:lang w:eastAsia="zh-TW"/>
        </w:rPr>
      </w:pPr>
    </w:p>
    <w:p w14:paraId="4B4F597D" w14:textId="60A38D7F" w:rsidR="00776D6A" w:rsidRDefault="00776D6A" w:rsidP="00275370">
      <w:pPr>
        <w:pStyle w:val="Heading3"/>
        <w:rPr>
          <w:rFonts w:eastAsiaTheme="minorEastAsia"/>
          <w:lang w:eastAsia="zh-TW"/>
        </w:rPr>
      </w:pPr>
      <w:r>
        <w:rPr>
          <w:rFonts w:eastAsiaTheme="minorEastAsia"/>
          <w:lang w:eastAsia="zh-TW"/>
        </w:rPr>
        <w:t>BWP Switch Reliability Enhancements</w:t>
      </w:r>
    </w:p>
    <w:p w14:paraId="2BB84762" w14:textId="34617C2C" w:rsidR="0007131D" w:rsidRPr="0007131D" w:rsidRDefault="0007131D" w:rsidP="0007131D">
      <w:pPr>
        <w:rPr>
          <w:rFonts w:eastAsiaTheme="minorEastAsia"/>
          <w:lang w:eastAsia="zh-TW"/>
        </w:rPr>
      </w:pPr>
      <w:r w:rsidRPr="0007131D">
        <w:rPr>
          <w:rFonts w:eastAsiaTheme="minorEastAsia"/>
          <w:lang w:eastAsia="zh-TW"/>
        </w:rPr>
        <w:t xml:space="preserve">DCI-based BWP switching is an efficient mechanism for fast transitions. However, </w:t>
      </w:r>
      <w:r w:rsidR="00E31903">
        <w:rPr>
          <w:rFonts w:eastAsiaTheme="minorEastAsia"/>
          <w:lang w:eastAsia="zh-TW"/>
        </w:rPr>
        <w:t xml:space="preserve">in some scenarios (e.g. non-overlapped BWPs), </w:t>
      </w:r>
      <w:r w:rsidRPr="0007131D">
        <w:rPr>
          <w:rFonts w:eastAsiaTheme="minorEastAsia"/>
          <w:lang w:eastAsia="zh-TW"/>
        </w:rPr>
        <w:t>DCI-based indication can suffer from missed detection or false alarm that the UE either erroneously interprets a DCI not intended for it as a valid BWP switch command or fails to detect a true command. This can leave the UE and network operating on different BWPs, reducing scheduling efficiency, and potentially causing service interruption. Therefore, enhancing the reliability of DCI-based BWP switching is essential for 6G.</w:t>
      </w:r>
    </w:p>
    <w:p w14:paraId="57975617" w14:textId="77777777" w:rsidR="0007131D" w:rsidRPr="0007131D" w:rsidRDefault="0007131D" w:rsidP="0007131D">
      <w:pPr>
        <w:rPr>
          <w:rFonts w:eastAsiaTheme="minorEastAsia"/>
          <w:lang w:eastAsia="zh-TW"/>
        </w:rPr>
      </w:pPr>
      <w:r w:rsidRPr="0007131D">
        <w:rPr>
          <w:rFonts w:eastAsiaTheme="minorEastAsia"/>
          <w:lang w:eastAsia="zh-TW"/>
        </w:rPr>
        <w:t>To address DCI reliability issues in BWP switching, the following directions can be considered:</w:t>
      </w:r>
    </w:p>
    <w:p w14:paraId="63CE81E0" w14:textId="1E1BDF64" w:rsidR="0007131D" w:rsidRPr="0007131D" w:rsidRDefault="0007131D" w:rsidP="00E272F0">
      <w:pPr>
        <w:numPr>
          <w:ilvl w:val="0"/>
          <w:numId w:val="33"/>
        </w:numPr>
        <w:rPr>
          <w:rFonts w:eastAsiaTheme="minorEastAsia"/>
          <w:lang w:eastAsia="zh-TW"/>
        </w:rPr>
      </w:pPr>
      <w:r w:rsidRPr="0007131D">
        <w:rPr>
          <w:rFonts w:eastAsiaTheme="minorEastAsia"/>
          <w:lang w:eastAsia="zh-TW"/>
        </w:rPr>
        <w:t xml:space="preserve">Improve DCI robustness for BWP switching: </w:t>
      </w:r>
      <w:r w:rsidR="00A2413F">
        <w:rPr>
          <w:rFonts w:eastAsiaTheme="minorEastAsia"/>
          <w:lang w:eastAsia="zh-TW"/>
        </w:rPr>
        <w:t>A</w:t>
      </w:r>
      <w:r w:rsidRPr="0007131D">
        <w:rPr>
          <w:rFonts w:eastAsiaTheme="minorEastAsia"/>
          <w:lang w:eastAsia="zh-TW"/>
        </w:rPr>
        <w:t xml:space="preserve"> dedicated and compact DCI format for BWP switching </w:t>
      </w:r>
      <w:r w:rsidR="00A2413F">
        <w:rPr>
          <w:rFonts w:eastAsiaTheme="minorEastAsia"/>
          <w:lang w:eastAsia="zh-TW"/>
        </w:rPr>
        <w:t xml:space="preserve">can be considered </w:t>
      </w:r>
      <w:r w:rsidRPr="0007131D">
        <w:rPr>
          <w:rFonts w:eastAsiaTheme="minorEastAsia"/>
          <w:lang w:eastAsia="zh-TW"/>
        </w:rPr>
        <w:t xml:space="preserve">to reduce false-alarm rates. Reliability can be also improved by using a lower effective code rate for delivering the BWP switch command. </w:t>
      </w:r>
    </w:p>
    <w:p w14:paraId="04596032" w14:textId="77777777" w:rsidR="0007131D" w:rsidRPr="0007131D" w:rsidRDefault="0007131D" w:rsidP="00E272F0">
      <w:pPr>
        <w:numPr>
          <w:ilvl w:val="0"/>
          <w:numId w:val="33"/>
        </w:numPr>
        <w:rPr>
          <w:rFonts w:eastAsiaTheme="minorEastAsia"/>
          <w:lang w:eastAsia="zh-TW"/>
        </w:rPr>
      </w:pPr>
      <w:r w:rsidRPr="0007131D">
        <w:rPr>
          <w:rFonts w:eastAsiaTheme="minorEastAsia"/>
          <w:lang w:eastAsia="zh-TW"/>
        </w:rPr>
        <w:t>Enhance synchronization via acknowledgments: require explicit (e.g., ACK/NACK for the switch command) or implicit (e.g., CSI reporting or SRS transmission on the target BWP) confirmation following a BWP switch command, enabling the UE and network to realign in case of missed or false decoding.</w:t>
      </w:r>
    </w:p>
    <w:p w14:paraId="73CC0E44" w14:textId="77777777" w:rsidR="0007131D" w:rsidRPr="0007131D" w:rsidRDefault="0007131D" w:rsidP="0007131D">
      <w:pPr>
        <w:rPr>
          <w:rFonts w:eastAsiaTheme="minorEastAsia"/>
          <w:lang w:eastAsia="zh-TW"/>
        </w:rPr>
      </w:pPr>
    </w:p>
    <w:p w14:paraId="764C3811" w14:textId="7B6169AB" w:rsidR="0007131D" w:rsidRPr="0007131D" w:rsidRDefault="0007131D" w:rsidP="0007131D">
      <w:pPr>
        <w:rPr>
          <w:rFonts w:eastAsiaTheme="minorEastAsia"/>
          <w:b/>
          <w:lang w:eastAsia="zh-TW"/>
        </w:rPr>
      </w:pPr>
      <w:bookmarkStart w:id="28" w:name="_Ref220681953"/>
      <w:bookmarkStart w:id="29" w:name="_Ref220682001"/>
      <w:r w:rsidRPr="0007131D">
        <w:rPr>
          <w:rFonts w:eastAsiaTheme="minorEastAsia"/>
          <w:b/>
          <w:lang w:eastAsia="zh-TW"/>
        </w:rPr>
        <w:t xml:space="preserve">Observation </w:t>
      </w:r>
      <w:r w:rsidRPr="0007131D">
        <w:rPr>
          <w:rFonts w:eastAsiaTheme="minorEastAsia"/>
          <w:b/>
          <w:lang w:eastAsia="zh-TW"/>
        </w:rPr>
        <w:fldChar w:fldCharType="begin"/>
      </w:r>
      <w:r w:rsidRPr="0007131D">
        <w:rPr>
          <w:rFonts w:eastAsiaTheme="minorEastAsia"/>
          <w:b/>
          <w:lang w:eastAsia="zh-TW"/>
        </w:rPr>
        <w:instrText xml:space="preserve"> SEQ Observation \* ARABIC </w:instrText>
      </w:r>
      <w:r w:rsidRPr="0007131D">
        <w:rPr>
          <w:rFonts w:eastAsiaTheme="minorEastAsia"/>
          <w:b/>
          <w:lang w:eastAsia="zh-TW"/>
        </w:rPr>
        <w:fldChar w:fldCharType="separate"/>
      </w:r>
      <w:r w:rsidR="00482437">
        <w:rPr>
          <w:rFonts w:eastAsiaTheme="minorEastAsia"/>
          <w:b/>
          <w:noProof/>
          <w:lang w:eastAsia="zh-TW"/>
        </w:rPr>
        <w:t>11</w:t>
      </w:r>
      <w:r w:rsidRPr="0007131D">
        <w:rPr>
          <w:rFonts w:eastAsiaTheme="minorEastAsia"/>
          <w:lang w:eastAsia="zh-TW"/>
        </w:rPr>
        <w:fldChar w:fldCharType="end"/>
      </w:r>
      <w:r w:rsidRPr="0007131D">
        <w:rPr>
          <w:rFonts w:eastAsiaTheme="minorEastAsia"/>
          <w:b/>
          <w:lang w:eastAsia="zh-TW"/>
        </w:rPr>
        <w:t xml:space="preserve">: While DCI-based BWP switching enables fast transitions, </w:t>
      </w:r>
      <w:r w:rsidR="00CB488B">
        <w:rPr>
          <w:rFonts w:eastAsiaTheme="minorEastAsia"/>
          <w:b/>
          <w:lang w:eastAsia="zh-TW"/>
        </w:rPr>
        <w:t xml:space="preserve">in some scenarios, </w:t>
      </w:r>
      <w:r w:rsidRPr="0007131D">
        <w:rPr>
          <w:rFonts w:eastAsiaTheme="minorEastAsia"/>
          <w:b/>
          <w:lang w:eastAsia="zh-TW"/>
        </w:rPr>
        <w:t>it is subject to reliability issues such as missed detection and false alarms, which can lead to misalignment of BWP state between the network and UE. Improving the reliability of DCI-based BWP switching is essential for 6G</w:t>
      </w:r>
      <w:bookmarkEnd w:id="28"/>
      <w:r w:rsidR="00C61FE7">
        <w:rPr>
          <w:rFonts w:eastAsiaTheme="minorEastAsia"/>
          <w:b/>
          <w:lang w:eastAsia="zh-TW"/>
        </w:rPr>
        <w:t>.</w:t>
      </w:r>
      <w:bookmarkEnd w:id="29"/>
    </w:p>
    <w:p w14:paraId="650FDDA2" w14:textId="77777777" w:rsidR="0007131D" w:rsidRPr="0007131D" w:rsidRDefault="0007131D" w:rsidP="0007131D">
      <w:pPr>
        <w:rPr>
          <w:rFonts w:eastAsiaTheme="minorEastAsia"/>
          <w:lang w:eastAsia="zh-TW"/>
        </w:rPr>
      </w:pPr>
    </w:p>
    <w:p w14:paraId="2CB67AA0" w14:textId="37F6F349" w:rsidR="0007131D" w:rsidRPr="0007131D" w:rsidRDefault="0007131D" w:rsidP="0007131D">
      <w:pPr>
        <w:rPr>
          <w:rFonts w:eastAsiaTheme="minorEastAsia"/>
          <w:b/>
          <w:lang w:eastAsia="zh-TW"/>
        </w:rPr>
      </w:pPr>
      <w:bookmarkStart w:id="30" w:name="_Ref220682443"/>
      <w:r w:rsidRPr="0007131D">
        <w:rPr>
          <w:rFonts w:eastAsiaTheme="minorEastAsia"/>
          <w:b/>
          <w:lang w:eastAsia="zh-TW"/>
        </w:rPr>
        <w:t xml:space="preserve">Proposal </w:t>
      </w:r>
      <w:r w:rsidRPr="0007131D">
        <w:rPr>
          <w:rFonts w:eastAsiaTheme="minorEastAsia"/>
          <w:b/>
          <w:lang w:eastAsia="zh-TW"/>
        </w:rPr>
        <w:fldChar w:fldCharType="begin"/>
      </w:r>
      <w:r w:rsidRPr="0007131D">
        <w:rPr>
          <w:rFonts w:eastAsiaTheme="minorEastAsia"/>
          <w:b/>
          <w:lang w:eastAsia="zh-TW"/>
        </w:rPr>
        <w:instrText xml:space="preserve"> SEQ Proposal \* ARABIC </w:instrText>
      </w:r>
      <w:r w:rsidRPr="0007131D">
        <w:rPr>
          <w:rFonts w:eastAsiaTheme="minorEastAsia"/>
          <w:b/>
          <w:lang w:eastAsia="zh-TW"/>
        </w:rPr>
        <w:fldChar w:fldCharType="separate"/>
      </w:r>
      <w:r w:rsidR="00482437">
        <w:rPr>
          <w:rFonts w:eastAsiaTheme="minorEastAsia"/>
          <w:b/>
          <w:noProof/>
          <w:lang w:eastAsia="zh-TW"/>
        </w:rPr>
        <w:t>15</w:t>
      </w:r>
      <w:r w:rsidRPr="0007131D">
        <w:rPr>
          <w:rFonts w:eastAsiaTheme="minorEastAsia"/>
          <w:lang w:eastAsia="zh-TW"/>
        </w:rPr>
        <w:fldChar w:fldCharType="end"/>
      </w:r>
      <w:r w:rsidRPr="0007131D">
        <w:rPr>
          <w:rFonts w:eastAsiaTheme="minorEastAsia"/>
          <w:b/>
          <w:lang w:eastAsia="zh-TW"/>
        </w:rPr>
        <w:t>: To enhance DCI-based BWP switch reliability, consider the following directions:</w:t>
      </w:r>
      <w:bookmarkEnd w:id="30"/>
    </w:p>
    <w:p w14:paraId="6F8B1FBE" w14:textId="77777777" w:rsidR="0007131D" w:rsidRPr="0007131D" w:rsidRDefault="0007131D" w:rsidP="00E272F0">
      <w:pPr>
        <w:numPr>
          <w:ilvl w:val="0"/>
          <w:numId w:val="34"/>
        </w:numPr>
        <w:rPr>
          <w:rFonts w:eastAsiaTheme="minorEastAsia"/>
          <w:b/>
          <w:bCs/>
          <w:lang w:eastAsia="zh-TW"/>
        </w:rPr>
      </w:pPr>
      <w:r w:rsidRPr="0007131D">
        <w:rPr>
          <w:rFonts w:eastAsiaTheme="minorEastAsia"/>
          <w:b/>
          <w:bCs/>
          <w:lang w:eastAsia="zh-TW"/>
        </w:rPr>
        <w:t>Reduce false alarm rates for BWP switch command</w:t>
      </w:r>
    </w:p>
    <w:p w14:paraId="474DB123" w14:textId="77777777" w:rsidR="0007131D" w:rsidRPr="0007131D" w:rsidRDefault="0007131D" w:rsidP="00E272F0">
      <w:pPr>
        <w:numPr>
          <w:ilvl w:val="1"/>
          <w:numId w:val="34"/>
        </w:numPr>
        <w:rPr>
          <w:rFonts w:eastAsiaTheme="minorEastAsia"/>
          <w:b/>
          <w:bCs/>
          <w:lang w:eastAsia="zh-TW"/>
        </w:rPr>
      </w:pPr>
      <w:r w:rsidRPr="0007131D">
        <w:rPr>
          <w:rFonts w:eastAsiaTheme="minorEastAsia"/>
          <w:b/>
          <w:bCs/>
          <w:lang w:eastAsia="zh-TW"/>
        </w:rPr>
        <w:t xml:space="preserve">e.g. Dedicated and compact DCI for BWP switching </w:t>
      </w:r>
    </w:p>
    <w:p w14:paraId="0A9161F6" w14:textId="77777777" w:rsidR="0007131D" w:rsidRPr="0007131D" w:rsidRDefault="0007131D" w:rsidP="00E272F0">
      <w:pPr>
        <w:numPr>
          <w:ilvl w:val="0"/>
          <w:numId w:val="34"/>
        </w:numPr>
        <w:rPr>
          <w:rFonts w:eastAsiaTheme="minorEastAsia"/>
          <w:b/>
          <w:bCs/>
          <w:lang w:eastAsia="zh-TW"/>
        </w:rPr>
      </w:pPr>
      <w:r w:rsidRPr="0007131D">
        <w:rPr>
          <w:rFonts w:eastAsiaTheme="minorEastAsia"/>
          <w:b/>
          <w:bCs/>
          <w:lang w:eastAsia="zh-TW"/>
        </w:rPr>
        <w:t>Enhance acknowledgement mechanisms</w:t>
      </w:r>
    </w:p>
    <w:p w14:paraId="272EF08B" w14:textId="77777777" w:rsidR="00741106" w:rsidRDefault="00741106" w:rsidP="00F04591">
      <w:pPr>
        <w:rPr>
          <w:rFonts w:eastAsiaTheme="minorEastAsia"/>
          <w:lang w:eastAsia="zh-TW"/>
        </w:rPr>
      </w:pPr>
    </w:p>
    <w:p w14:paraId="5F9C1832" w14:textId="0F0FD2A5" w:rsidR="007D1D81" w:rsidRPr="0007131D" w:rsidRDefault="001A487F" w:rsidP="007D1D81">
      <w:pPr>
        <w:pStyle w:val="Heading1"/>
        <w:rPr>
          <w:lang w:val="en-US"/>
        </w:rPr>
      </w:pPr>
      <w:r>
        <w:rPr>
          <w:rFonts w:eastAsiaTheme="minorEastAsia"/>
          <w:lang w:val="en-US" w:eastAsia="zh-TW"/>
        </w:rPr>
        <w:lastRenderedPageBreak/>
        <w:t xml:space="preserve">BWP </w:t>
      </w:r>
      <w:r w:rsidR="00F04591">
        <w:rPr>
          <w:rFonts w:eastAsiaTheme="minorEastAsia"/>
          <w:lang w:val="en-US" w:eastAsia="zh-TW"/>
        </w:rPr>
        <w:t>Enhancements</w:t>
      </w:r>
      <w:r w:rsidR="00296ACA">
        <w:rPr>
          <w:rFonts w:eastAsiaTheme="minorEastAsia"/>
          <w:lang w:val="en-US" w:eastAsia="zh-TW"/>
        </w:rPr>
        <w:t xml:space="preserve"> </w:t>
      </w:r>
      <w:r w:rsidR="004F02E6">
        <w:rPr>
          <w:rFonts w:eastAsiaTheme="minorEastAsia"/>
          <w:lang w:val="en-US" w:eastAsia="zh-TW"/>
        </w:rPr>
        <w:t xml:space="preserve">for </w:t>
      </w:r>
      <w:r w:rsidR="00804D21">
        <w:rPr>
          <w:rFonts w:eastAsiaTheme="minorEastAsia"/>
          <w:lang w:val="en-US" w:eastAsia="zh-TW"/>
        </w:rPr>
        <w:t xml:space="preserve">6GR </w:t>
      </w:r>
      <w:r w:rsidR="004F02E6">
        <w:rPr>
          <w:rFonts w:eastAsiaTheme="minorEastAsia"/>
          <w:lang w:val="en-US" w:eastAsia="zh-TW"/>
        </w:rPr>
        <w:t>New Use Cases</w:t>
      </w:r>
      <w:r w:rsidR="00296ACA">
        <w:rPr>
          <w:rFonts w:eastAsiaTheme="minorEastAsia"/>
          <w:lang w:val="en-US" w:eastAsia="zh-TW"/>
        </w:rPr>
        <w:t xml:space="preserve"> </w:t>
      </w:r>
    </w:p>
    <w:p w14:paraId="18962FF9" w14:textId="3DE0638D" w:rsidR="00B71035" w:rsidRDefault="004E6B3E" w:rsidP="00B71035">
      <w:pPr>
        <w:pStyle w:val="Heading2"/>
      </w:pPr>
      <w:r>
        <w:rPr>
          <w:rFonts w:eastAsiaTheme="minorEastAsia"/>
          <w:lang w:eastAsia="zh-TW"/>
        </w:rPr>
        <w:t>Multi-carrier Cell</w:t>
      </w:r>
      <w:r w:rsidR="00765D36">
        <w:rPr>
          <w:rFonts w:eastAsiaTheme="minorEastAsia"/>
          <w:lang w:eastAsia="zh-TW"/>
        </w:rPr>
        <w:t>s</w:t>
      </w:r>
    </w:p>
    <w:p w14:paraId="28FE8B79" w14:textId="1CB3C382" w:rsidR="0007131D" w:rsidRPr="0007131D" w:rsidRDefault="0007131D" w:rsidP="0007131D">
      <w:pPr>
        <w:rPr>
          <w:rFonts w:eastAsiaTheme="minorEastAsia"/>
          <w:lang w:eastAsia="zh-TW"/>
        </w:rPr>
      </w:pPr>
      <w:r w:rsidRPr="0007131D">
        <w:rPr>
          <w:rFonts w:eastAsiaTheme="minorEastAsia"/>
          <w:lang w:eastAsia="zh-TW"/>
        </w:rPr>
        <w:t xml:space="preserve">To address the pain points of the legacy CA framework - primarily the inefficiency arising from the one-to-one mapping between logical cells and physical carriers in 5G - a multi-carrier cell that decouples physical carriers from logical cells can be considered. In the multi-carrier cell use case, multiple carriers with similar channel characteristics (such as intra-band or nearby inter-band carriers) are aggregated into a single logical cell if they meet specific time/frequency synchronization requirements, as illustrated in </w:t>
      </w:r>
      <w:r w:rsidRPr="0007131D">
        <w:rPr>
          <w:rFonts w:eastAsiaTheme="minorEastAsia"/>
          <w:lang w:eastAsia="zh-TW"/>
        </w:rPr>
        <w:fldChar w:fldCharType="begin"/>
      </w:r>
      <w:r w:rsidRPr="0007131D">
        <w:rPr>
          <w:rFonts w:eastAsiaTheme="minorEastAsia"/>
          <w:lang w:eastAsia="zh-TW"/>
        </w:rPr>
        <w:instrText xml:space="preserve"> REF _Ref220626904 \h </w:instrText>
      </w:r>
      <w:r w:rsidR="00AF2A65" w:rsidRPr="00AF2A65">
        <w:rPr>
          <w:rFonts w:eastAsiaTheme="minorEastAsia"/>
          <w:lang w:eastAsia="zh-TW"/>
        </w:rPr>
        <w:instrText xml:space="preserve"> \* MERGEFORMAT </w:instrText>
      </w:r>
      <w:r w:rsidRPr="0007131D">
        <w:rPr>
          <w:rFonts w:eastAsiaTheme="minorEastAsia"/>
          <w:lang w:eastAsia="zh-TW"/>
        </w:rPr>
      </w:r>
      <w:r w:rsidRPr="0007131D">
        <w:rPr>
          <w:rFonts w:eastAsiaTheme="minorEastAsia"/>
          <w:lang w:eastAsia="zh-TW"/>
        </w:rPr>
        <w:fldChar w:fldCharType="separate"/>
      </w:r>
      <w:r w:rsidR="00482437" w:rsidRPr="00482437">
        <w:rPr>
          <w:rFonts w:eastAsiaTheme="minorEastAsia"/>
          <w:lang w:eastAsia="zh-TW"/>
        </w:rPr>
        <w:t xml:space="preserve">Figure </w:t>
      </w:r>
      <w:r w:rsidR="00482437" w:rsidRPr="00482437">
        <w:rPr>
          <w:rFonts w:eastAsiaTheme="minorEastAsia"/>
          <w:noProof/>
          <w:lang w:eastAsia="zh-TW"/>
        </w:rPr>
        <w:t>5</w:t>
      </w:r>
      <w:r w:rsidRPr="0007131D">
        <w:rPr>
          <w:rFonts w:eastAsiaTheme="minorEastAsia"/>
          <w:lang w:eastAsia="zh-TW"/>
        </w:rPr>
        <w:fldChar w:fldCharType="end"/>
      </w:r>
      <w:r w:rsidRPr="0007131D">
        <w:rPr>
          <w:rFonts w:eastAsiaTheme="minorEastAsia"/>
          <w:lang w:eastAsia="zh-TW"/>
        </w:rPr>
        <w:t>. This allows the UE to use a common synchronization reference and AGC, improves carrier activation latency, and enables a unified RRC configuration. As a result, UE-specific signaling overhead (DCI, RRC) and PHY layer complexity are reduced. In addition, the scheduling and HARQ operation are also no longer restricted within a carriers and further improvements on user throughput and latency via cross-carrier operation becomes possible.</w:t>
      </w:r>
    </w:p>
    <w:p w14:paraId="483974A7" w14:textId="1C5D7D8C" w:rsidR="0007131D" w:rsidRPr="0007131D" w:rsidRDefault="0007131D" w:rsidP="0007131D">
      <w:pPr>
        <w:jc w:val="center"/>
        <w:rPr>
          <w:rFonts w:eastAsiaTheme="minorEastAsia"/>
          <w:b/>
          <w:bCs/>
          <w:lang w:eastAsia="zh-TW"/>
        </w:rPr>
      </w:pPr>
      <w:r w:rsidRPr="0007131D">
        <w:rPr>
          <w:rFonts w:eastAsiaTheme="minorEastAsia"/>
          <w:b/>
          <w:noProof/>
          <w:lang w:eastAsia="zh-TW"/>
        </w:rPr>
        <w:drawing>
          <wp:inline distT="0" distB="0" distL="0" distR="0" wp14:anchorId="5976433E" wp14:editId="7BBF98A9">
            <wp:extent cx="3536950" cy="2063750"/>
            <wp:effectExtent l="0" t="0" r="6350" b="0"/>
            <wp:docPr id="1842360919"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6950" cy="2063750"/>
                    </a:xfrm>
                    <a:prstGeom prst="rect">
                      <a:avLst/>
                    </a:prstGeom>
                    <a:noFill/>
                    <a:ln>
                      <a:noFill/>
                    </a:ln>
                  </pic:spPr>
                </pic:pic>
              </a:graphicData>
            </a:graphic>
          </wp:inline>
        </w:drawing>
      </w:r>
    </w:p>
    <w:p w14:paraId="5F3D0062" w14:textId="1D923017" w:rsidR="0007131D" w:rsidRPr="0007131D" w:rsidRDefault="0007131D" w:rsidP="0007131D">
      <w:pPr>
        <w:jc w:val="center"/>
        <w:rPr>
          <w:rFonts w:eastAsiaTheme="minorEastAsia"/>
          <w:bCs/>
          <w:lang w:eastAsia="zh-TW"/>
        </w:rPr>
      </w:pPr>
      <w:bookmarkStart w:id="31" w:name="_Ref220626904"/>
      <w:r w:rsidRPr="0007131D">
        <w:rPr>
          <w:rFonts w:eastAsiaTheme="minorEastAsia"/>
          <w:bCs/>
          <w:lang w:eastAsia="zh-TW"/>
        </w:rPr>
        <w:t xml:space="preserve">Figure </w:t>
      </w:r>
      <w:r w:rsidRPr="0007131D">
        <w:rPr>
          <w:rFonts w:eastAsiaTheme="minorEastAsia"/>
          <w:bCs/>
          <w:lang w:eastAsia="zh-TW"/>
        </w:rPr>
        <w:fldChar w:fldCharType="begin"/>
      </w:r>
      <w:r w:rsidRPr="0007131D">
        <w:rPr>
          <w:rFonts w:eastAsiaTheme="minorEastAsia"/>
          <w:bCs/>
          <w:lang w:eastAsia="zh-TW"/>
        </w:rPr>
        <w:instrText xml:space="preserve"> SEQ Figure \* ARABIC </w:instrText>
      </w:r>
      <w:r w:rsidRPr="0007131D">
        <w:rPr>
          <w:rFonts w:eastAsiaTheme="minorEastAsia"/>
          <w:bCs/>
          <w:lang w:eastAsia="zh-TW"/>
        </w:rPr>
        <w:fldChar w:fldCharType="separate"/>
      </w:r>
      <w:r w:rsidR="00482437">
        <w:rPr>
          <w:rFonts w:eastAsiaTheme="minorEastAsia"/>
          <w:bCs/>
          <w:noProof/>
          <w:lang w:eastAsia="zh-TW"/>
        </w:rPr>
        <w:t>5</w:t>
      </w:r>
      <w:r w:rsidRPr="0007131D">
        <w:rPr>
          <w:rFonts w:eastAsiaTheme="minorEastAsia"/>
          <w:bCs/>
          <w:lang w:eastAsia="zh-TW"/>
        </w:rPr>
        <w:fldChar w:fldCharType="end"/>
      </w:r>
      <w:bookmarkEnd w:id="31"/>
      <w:r w:rsidR="00AF2A65" w:rsidRPr="00AF2A65">
        <w:rPr>
          <w:rFonts w:eastAsiaTheme="minorEastAsia" w:hint="eastAsia"/>
          <w:bCs/>
          <w:lang w:eastAsia="zh-TW"/>
        </w:rPr>
        <w:t>.</w:t>
      </w:r>
      <w:r w:rsidRPr="0007131D">
        <w:rPr>
          <w:rFonts w:eastAsiaTheme="minorEastAsia"/>
          <w:bCs/>
          <w:lang w:eastAsia="zh-TW"/>
        </w:rPr>
        <w:t xml:space="preserve"> Illustration of multi-carrier cell</w:t>
      </w:r>
    </w:p>
    <w:p w14:paraId="4244A803" w14:textId="77777777" w:rsidR="0007131D" w:rsidRPr="0007131D" w:rsidRDefault="0007131D" w:rsidP="0007131D">
      <w:pPr>
        <w:rPr>
          <w:rFonts w:eastAsiaTheme="minorEastAsia"/>
          <w:b/>
          <w:lang w:eastAsia="zh-TW"/>
        </w:rPr>
      </w:pPr>
    </w:p>
    <w:p w14:paraId="5EEE50F5" w14:textId="77777777" w:rsidR="0007131D" w:rsidRPr="0007131D" w:rsidRDefault="0007131D" w:rsidP="0007131D">
      <w:pPr>
        <w:rPr>
          <w:rFonts w:eastAsiaTheme="minorEastAsia"/>
          <w:b/>
          <w:u w:val="single"/>
          <w:lang w:eastAsia="zh-TW"/>
        </w:rPr>
      </w:pPr>
      <w:r w:rsidRPr="0007131D">
        <w:rPr>
          <w:rFonts w:eastAsiaTheme="minorEastAsia"/>
          <w:b/>
          <w:u w:val="single"/>
          <w:lang w:eastAsia="zh-TW"/>
        </w:rPr>
        <w:t>BWP definition for multi-carrier cell</w:t>
      </w:r>
    </w:p>
    <w:p w14:paraId="77A4A6FC" w14:textId="77777777" w:rsidR="0007131D" w:rsidRPr="0007131D" w:rsidRDefault="0007131D" w:rsidP="0007131D">
      <w:pPr>
        <w:rPr>
          <w:rFonts w:eastAsiaTheme="minorEastAsia"/>
          <w:bCs/>
          <w:lang w:eastAsia="zh-TW"/>
        </w:rPr>
      </w:pPr>
      <w:r w:rsidRPr="0007131D">
        <w:rPr>
          <w:rFonts w:eastAsiaTheme="minorEastAsia"/>
          <w:bCs/>
          <w:lang w:eastAsia="zh-TW"/>
        </w:rPr>
        <w:t>The BWP framework can be extended to support non-contiguous resource allocation within a multi-carrier cell. Two options can be considered:</w:t>
      </w:r>
    </w:p>
    <w:p w14:paraId="02A7058A" w14:textId="77777777" w:rsidR="0007131D" w:rsidRPr="0007131D" w:rsidRDefault="0007131D" w:rsidP="00E272F0">
      <w:pPr>
        <w:numPr>
          <w:ilvl w:val="0"/>
          <w:numId w:val="35"/>
        </w:numPr>
        <w:rPr>
          <w:rFonts w:eastAsiaTheme="minorEastAsia"/>
          <w:bCs/>
          <w:lang w:eastAsia="zh-TW"/>
        </w:rPr>
      </w:pPr>
      <w:r w:rsidRPr="0007131D">
        <w:rPr>
          <w:rFonts w:eastAsiaTheme="minorEastAsia"/>
          <w:bCs/>
          <w:lang w:eastAsia="zh-TW"/>
        </w:rPr>
        <w:t>Option 1: Non-contiguous resource allocation within a single active BWP.</w:t>
      </w:r>
    </w:p>
    <w:p w14:paraId="5C8C3980" w14:textId="77777777" w:rsidR="0007131D" w:rsidRPr="0007131D" w:rsidRDefault="0007131D" w:rsidP="00E272F0">
      <w:pPr>
        <w:numPr>
          <w:ilvl w:val="0"/>
          <w:numId w:val="35"/>
        </w:numPr>
        <w:rPr>
          <w:rFonts w:eastAsiaTheme="minorEastAsia"/>
          <w:bCs/>
          <w:lang w:eastAsia="zh-TW"/>
        </w:rPr>
      </w:pPr>
      <w:r w:rsidRPr="0007131D">
        <w:rPr>
          <w:rFonts w:eastAsiaTheme="minorEastAsia"/>
          <w:bCs/>
          <w:lang w:eastAsia="zh-TW"/>
        </w:rPr>
        <w:t>Option 2: One or multiple active BWPs, where each active BWP includes contiguous resource allocation.</w:t>
      </w:r>
    </w:p>
    <w:p w14:paraId="0A86D074" w14:textId="77777777" w:rsidR="0007131D" w:rsidRPr="0007131D" w:rsidRDefault="0007131D" w:rsidP="0007131D">
      <w:pPr>
        <w:rPr>
          <w:rFonts w:eastAsiaTheme="minorEastAsia"/>
          <w:bCs/>
          <w:lang w:eastAsia="zh-TW"/>
        </w:rPr>
      </w:pPr>
    </w:p>
    <w:p w14:paraId="70F79A4D" w14:textId="77777777" w:rsidR="0007131D" w:rsidRPr="0007131D" w:rsidRDefault="0007131D" w:rsidP="0007131D">
      <w:pPr>
        <w:rPr>
          <w:rFonts w:eastAsiaTheme="minorEastAsia"/>
          <w:bCs/>
          <w:lang w:eastAsia="zh-TW"/>
        </w:rPr>
      </w:pPr>
      <w:r w:rsidRPr="0007131D">
        <w:rPr>
          <w:rFonts w:eastAsiaTheme="minorEastAsia"/>
          <w:bCs/>
          <w:lang w:eastAsia="zh-TW"/>
        </w:rPr>
        <w:t>Option 1 is a straightforward extension of the NR BWP framework, which allows configuration of a BWP containing multiple frequency clusters/segments. The frequency clusters within a BWP share the same configuration, thereby reducing signaling overhead compared to Option 2. With Option 1, the typical BWP switch mechanism still applies because only one BWP is activated at a time, and the number of bits required in DCI for BWP switching remains minimal. Overall, Option 1 is expected to require less specification and implementation effort.</w:t>
      </w:r>
    </w:p>
    <w:p w14:paraId="65E76399" w14:textId="77777777" w:rsidR="0007131D" w:rsidRPr="0007131D" w:rsidRDefault="0007131D" w:rsidP="0007131D">
      <w:pPr>
        <w:rPr>
          <w:rFonts w:eastAsiaTheme="minorEastAsia"/>
          <w:bCs/>
          <w:lang w:eastAsia="zh-TW"/>
        </w:rPr>
      </w:pPr>
      <w:r w:rsidRPr="0007131D">
        <w:rPr>
          <w:rFonts w:eastAsiaTheme="minorEastAsia"/>
          <w:bCs/>
          <w:lang w:eastAsia="zh-TW"/>
        </w:rPr>
        <w:t>Option 2 could support even more flexible BWP resource allocation, such as using a bitmap to indicate which BWPs are active. While this flexibility may be beneficial in some scenarios, it significantly increases UE complexity and contravenes the spirit of BWP simplification. For these reasons, Option 1 is preferred for supporting multi-carrier cell operation.</w:t>
      </w:r>
    </w:p>
    <w:p w14:paraId="78E4C683" w14:textId="37488BDB" w:rsidR="0007131D" w:rsidRPr="0007131D" w:rsidRDefault="0007131D" w:rsidP="0007131D">
      <w:pPr>
        <w:rPr>
          <w:rFonts w:eastAsiaTheme="minorEastAsia"/>
          <w:b/>
          <w:bCs/>
          <w:lang w:eastAsia="zh-TW"/>
        </w:rPr>
      </w:pPr>
      <w:bookmarkStart w:id="32" w:name="_Ref220682021"/>
      <w:r w:rsidRPr="0007131D">
        <w:rPr>
          <w:rFonts w:eastAsiaTheme="minorEastAsia"/>
          <w:b/>
          <w:lang w:eastAsia="zh-TW"/>
        </w:rPr>
        <w:t xml:space="preserve">Observation </w:t>
      </w:r>
      <w:r w:rsidRPr="0007131D">
        <w:rPr>
          <w:rFonts w:eastAsiaTheme="minorEastAsia"/>
          <w:b/>
          <w:lang w:eastAsia="zh-TW"/>
        </w:rPr>
        <w:fldChar w:fldCharType="begin"/>
      </w:r>
      <w:r w:rsidRPr="0007131D">
        <w:rPr>
          <w:rFonts w:eastAsiaTheme="minorEastAsia"/>
          <w:b/>
          <w:lang w:eastAsia="zh-TW"/>
        </w:rPr>
        <w:instrText xml:space="preserve"> SEQ Observation \* ARABIC </w:instrText>
      </w:r>
      <w:r w:rsidRPr="0007131D">
        <w:rPr>
          <w:rFonts w:eastAsiaTheme="minorEastAsia"/>
          <w:b/>
          <w:lang w:eastAsia="zh-TW"/>
        </w:rPr>
        <w:fldChar w:fldCharType="separate"/>
      </w:r>
      <w:r w:rsidR="00482437">
        <w:rPr>
          <w:rFonts w:eastAsiaTheme="minorEastAsia"/>
          <w:b/>
          <w:noProof/>
          <w:lang w:eastAsia="zh-TW"/>
        </w:rPr>
        <w:t>12</w:t>
      </w:r>
      <w:r w:rsidRPr="0007131D">
        <w:rPr>
          <w:rFonts w:eastAsiaTheme="minorEastAsia"/>
          <w:lang w:eastAsia="zh-TW"/>
        </w:rPr>
        <w:fldChar w:fldCharType="end"/>
      </w:r>
      <w:r w:rsidRPr="0007131D">
        <w:rPr>
          <w:rFonts w:eastAsiaTheme="minorEastAsia"/>
          <w:b/>
          <w:lang w:eastAsia="zh-TW"/>
        </w:rPr>
        <w:t xml:space="preserve">: </w:t>
      </w:r>
      <w:r w:rsidRPr="0007131D">
        <w:rPr>
          <w:rFonts w:eastAsiaTheme="minorEastAsia"/>
          <w:b/>
          <w:bCs/>
          <w:lang w:eastAsia="zh-TW"/>
        </w:rPr>
        <w:t>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bookmarkEnd w:id="32"/>
    </w:p>
    <w:p w14:paraId="677A8A42" w14:textId="4C356E99" w:rsidR="002835A1" w:rsidRPr="00261F86" w:rsidRDefault="0007131D" w:rsidP="002835A1">
      <w:pPr>
        <w:rPr>
          <w:rFonts w:eastAsiaTheme="minorEastAsia"/>
          <w:b/>
          <w:bCs/>
          <w:lang w:eastAsia="zh-TW"/>
        </w:rPr>
      </w:pPr>
      <w:bookmarkStart w:id="33" w:name="_Ref220682482"/>
      <w:r w:rsidRPr="00D127D0">
        <w:rPr>
          <w:rFonts w:eastAsiaTheme="minorEastAsia"/>
          <w:b/>
          <w:bCs/>
          <w:lang w:eastAsia="zh-TW"/>
        </w:rPr>
        <w:t xml:space="preserve">Proposal </w:t>
      </w:r>
      <w:r w:rsidRPr="00D127D0">
        <w:rPr>
          <w:rFonts w:eastAsiaTheme="minorEastAsia"/>
          <w:b/>
          <w:bCs/>
          <w:lang w:eastAsia="zh-TW"/>
        </w:rPr>
        <w:fldChar w:fldCharType="begin"/>
      </w:r>
      <w:r w:rsidRPr="00D127D0">
        <w:rPr>
          <w:rFonts w:eastAsiaTheme="minorEastAsia"/>
          <w:b/>
          <w:bCs/>
          <w:lang w:eastAsia="zh-TW"/>
        </w:rPr>
        <w:instrText xml:space="preserve"> SEQ Proposal \* ARABIC </w:instrText>
      </w:r>
      <w:r w:rsidRPr="00D127D0">
        <w:rPr>
          <w:rFonts w:eastAsiaTheme="minorEastAsia"/>
          <w:b/>
          <w:bCs/>
          <w:lang w:eastAsia="zh-TW"/>
        </w:rPr>
        <w:fldChar w:fldCharType="separate"/>
      </w:r>
      <w:r w:rsidR="00482437">
        <w:rPr>
          <w:rFonts w:eastAsiaTheme="minorEastAsia"/>
          <w:b/>
          <w:bCs/>
          <w:noProof/>
          <w:lang w:eastAsia="zh-TW"/>
        </w:rPr>
        <w:t>16</w:t>
      </w:r>
      <w:r w:rsidRPr="00D127D0">
        <w:rPr>
          <w:rFonts w:eastAsiaTheme="minorEastAsia"/>
          <w:b/>
          <w:bCs/>
          <w:lang w:eastAsia="zh-TW"/>
        </w:rPr>
        <w:fldChar w:fldCharType="end"/>
      </w:r>
      <w:r w:rsidRPr="00D127D0">
        <w:rPr>
          <w:rFonts w:eastAsiaTheme="minorEastAsia"/>
          <w:b/>
          <w:bCs/>
          <w:lang w:eastAsia="zh-TW"/>
        </w:rPr>
        <w:t>: Extend the BWP framework to support non-contiguous resource allocation (multiple frequency clusters) within a single active BWP for multi-carrier cell scenarios.</w:t>
      </w:r>
      <w:bookmarkEnd w:id="33"/>
    </w:p>
    <w:p w14:paraId="6D10C4C1" w14:textId="47EB2C2E" w:rsidR="0007131D" w:rsidRDefault="0007131D">
      <w:pPr>
        <w:pStyle w:val="Heading2"/>
        <w:rPr>
          <w:rFonts w:eastAsiaTheme="minorEastAsia"/>
          <w:lang w:val="en-US" w:eastAsia="zh-TW"/>
        </w:rPr>
      </w:pPr>
      <w:r w:rsidRPr="0007131D">
        <w:rPr>
          <w:lang w:val="en-US"/>
        </w:rPr>
        <w:lastRenderedPageBreak/>
        <w:t>BWP Adaptation for Network Energy Saving</w:t>
      </w:r>
    </w:p>
    <w:p w14:paraId="1C9CC963" w14:textId="77777777" w:rsidR="0007131D" w:rsidRPr="00583760" w:rsidRDefault="0007131D" w:rsidP="0007131D">
      <w:pPr>
        <w:jc w:val="both"/>
        <w:rPr>
          <w:rFonts w:eastAsiaTheme="minorEastAsia"/>
          <w:lang w:eastAsia="zh-TW"/>
        </w:rPr>
      </w:pPr>
      <w:r w:rsidRPr="00583760">
        <w:rPr>
          <w:rFonts w:eastAsiaTheme="minorEastAsia"/>
          <w:lang w:eastAsia="zh-TW"/>
        </w:rPr>
        <w:t>Beyond UE energy saving, the BWP framework can also enable network energy saving. Network-level adaptations typically require aligning UE settings within a cell. If the indication for adaptation is UE-specific, the NES gain is reduced due to large signaling overhead and long time needed to align UE settings. Cell</w:t>
      </w:r>
      <w:r>
        <w:rPr>
          <w:rFonts w:eastAsiaTheme="minorEastAsia" w:hint="eastAsia"/>
          <w:lang w:eastAsia="zh-TW"/>
        </w:rPr>
        <w:t>/</w:t>
      </w:r>
      <w:r w:rsidRPr="00583760">
        <w:rPr>
          <w:rFonts w:eastAsiaTheme="minorEastAsia"/>
          <w:lang w:eastAsia="zh-TW"/>
        </w:rPr>
        <w:t>group-wise adaptations minimize these inefficiencies and maximize NES. Therefore, 6G should study an efficient cell/group-wise BWP switch indication mechanism.</w:t>
      </w:r>
    </w:p>
    <w:p w14:paraId="786D633F" w14:textId="0FD264B7" w:rsidR="00482437" w:rsidRPr="00583760" w:rsidRDefault="0007131D" w:rsidP="00482437">
      <w:pPr>
        <w:jc w:val="both"/>
        <w:rPr>
          <w:rFonts w:eastAsiaTheme="minorEastAsia"/>
          <w:lang w:eastAsia="zh-TW"/>
        </w:rPr>
      </w:pPr>
      <w:r w:rsidRPr="00583760">
        <w:rPr>
          <w:rFonts w:eastAsiaTheme="minorEastAsia"/>
          <w:lang w:eastAsia="zh-TW"/>
        </w:rPr>
        <w:t xml:space="preserve">With common multi-BWP support and efficient cell/group-wise switch signaling, the network can provision one or more NES BWPs for UEs. When cell load condition permits, this enables </w:t>
      </w:r>
      <w:r>
        <w:rPr>
          <w:rFonts w:eastAsiaTheme="minorEastAsia" w:hint="eastAsia"/>
          <w:lang w:eastAsia="zh-TW"/>
        </w:rPr>
        <w:t>optimization in frequency</w:t>
      </w:r>
      <w:r w:rsidRPr="00583760">
        <w:rPr>
          <w:rFonts w:eastAsiaTheme="minorEastAsia"/>
          <w:lang w:eastAsia="zh-TW"/>
        </w:rPr>
        <w:t xml:space="preserve"> domain to </w:t>
      </w:r>
      <w:r>
        <w:rPr>
          <w:rFonts w:eastAsiaTheme="minorEastAsia" w:hint="eastAsia"/>
          <w:lang w:eastAsia="zh-TW"/>
        </w:rPr>
        <w:t>improve</w:t>
      </w:r>
      <w:r w:rsidRPr="00583760">
        <w:rPr>
          <w:rFonts w:eastAsiaTheme="minorEastAsia"/>
          <w:lang w:eastAsia="zh-TW"/>
        </w:rPr>
        <w:t xml:space="preserve"> </w:t>
      </w:r>
      <w:r>
        <w:rPr>
          <w:rFonts w:eastAsiaTheme="minorEastAsia" w:hint="eastAsia"/>
          <w:lang w:eastAsia="zh-TW"/>
        </w:rPr>
        <w:t>both</w:t>
      </w:r>
      <w:r w:rsidRPr="00583760">
        <w:rPr>
          <w:rFonts w:eastAsiaTheme="minorEastAsia"/>
          <w:lang w:eastAsia="zh-TW"/>
        </w:rPr>
        <w:t xml:space="preserve"> BS and UE </w:t>
      </w:r>
      <w:r>
        <w:rPr>
          <w:rFonts w:eastAsiaTheme="minorEastAsia" w:hint="eastAsia"/>
          <w:lang w:eastAsia="zh-TW"/>
        </w:rPr>
        <w:t>energy efficiency</w:t>
      </w:r>
      <w:r w:rsidRPr="00583760">
        <w:rPr>
          <w:rFonts w:eastAsiaTheme="minorEastAsia"/>
          <w:lang w:eastAsia="zh-TW"/>
        </w:rPr>
        <w:t>.</w:t>
      </w:r>
      <w:r w:rsidRPr="00AF2A65">
        <w:rPr>
          <w:rFonts w:eastAsiaTheme="minorEastAsia"/>
          <w:lang w:eastAsia="zh-TW"/>
        </w:rPr>
        <w:fldChar w:fldCharType="begin"/>
      </w:r>
      <w:r w:rsidRPr="00AF2A65">
        <w:rPr>
          <w:rFonts w:eastAsiaTheme="minorEastAsia"/>
          <w:lang w:eastAsia="zh-TW"/>
        </w:rPr>
        <w:instrText xml:space="preserve"> REF _Ref210315509 \h  \* MERGEFORMAT </w:instrText>
      </w:r>
      <w:r w:rsidRPr="00AF2A65">
        <w:rPr>
          <w:rFonts w:eastAsiaTheme="minorEastAsia"/>
          <w:lang w:eastAsia="zh-TW"/>
        </w:rPr>
      </w:r>
      <w:r w:rsidRPr="00AF2A65">
        <w:rPr>
          <w:rFonts w:eastAsiaTheme="minorEastAsia"/>
          <w:lang w:eastAsia="zh-TW"/>
        </w:rPr>
        <w:fldChar w:fldCharType="separate"/>
      </w:r>
    </w:p>
    <w:p w14:paraId="3DC19F5F" w14:textId="41AB2B35" w:rsidR="0007131D" w:rsidRPr="00583760" w:rsidRDefault="00482437" w:rsidP="0007131D">
      <w:pPr>
        <w:jc w:val="both"/>
        <w:rPr>
          <w:rFonts w:eastAsiaTheme="minorEastAsia"/>
          <w:lang w:eastAsia="zh-TW"/>
        </w:rPr>
      </w:pPr>
      <w:r w:rsidRPr="00482437">
        <w:rPr>
          <w:rFonts w:eastAsiaTheme="minorEastAsia"/>
          <w:noProof/>
          <w:lang w:eastAsia="zh-TW"/>
        </w:rPr>
        <w:t xml:space="preserve">Figure </w:t>
      </w:r>
      <w:r>
        <w:rPr>
          <w:rFonts w:eastAsiaTheme="minorEastAsia"/>
          <w:bCs/>
          <w:noProof/>
          <w:lang w:eastAsia="zh-TW"/>
        </w:rPr>
        <w:t>6</w:t>
      </w:r>
      <w:r w:rsidR="0007131D" w:rsidRPr="00AF2A65">
        <w:rPr>
          <w:rFonts w:eastAsiaTheme="minorEastAsia"/>
          <w:lang w:val="en-GB" w:eastAsia="zh-TW"/>
        </w:rPr>
        <w:fldChar w:fldCharType="end"/>
      </w:r>
      <w:r w:rsidR="0007131D" w:rsidRPr="00AF2A65">
        <w:rPr>
          <w:rFonts w:eastAsiaTheme="minorEastAsia"/>
          <w:lang w:eastAsia="zh-TW"/>
        </w:rPr>
        <w:t xml:space="preserve"> i</w:t>
      </w:r>
      <w:r w:rsidR="0007131D" w:rsidRPr="00583760">
        <w:rPr>
          <w:rFonts w:eastAsiaTheme="minorEastAsia"/>
          <w:lang w:eastAsia="zh-TW"/>
        </w:rPr>
        <w:t>llustrates UE adaptation to common settings via a BWP framework.</w:t>
      </w:r>
      <w:r w:rsidR="00DE7885">
        <w:rPr>
          <w:rFonts w:eastAsiaTheme="minorEastAsia"/>
          <w:lang w:eastAsia="zh-TW"/>
        </w:rPr>
        <w:t xml:space="preserve"> </w:t>
      </w:r>
      <w:r w:rsidR="0007131D" w:rsidRPr="00583760">
        <w:rPr>
          <w:rFonts w:eastAsiaTheme="minorEastAsia"/>
          <w:lang w:eastAsia="zh-TW"/>
        </w:rPr>
        <w:fldChar w:fldCharType="begin"/>
      </w:r>
      <w:r w:rsidR="0007131D" w:rsidRPr="00583760">
        <w:rPr>
          <w:rFonts w:eastAsiaTheme="minorEastAsia"/>
          <w:lang w:eastAsia="zh-TW"/>
        </w:rPr>
        <w:instrText xml:space="preserve"> REF _Ref210255095 \h  \* MERGEFORMAT </w:instrText>
      </w:r>
      <w:r w:rsidR="0007131D" w:rsidRPr="00583760">
        <w:rPr>
          <w:rFonts w:eastAsiaTheme="minorEastAsia"/>
          <w:lang w:eastAsia="zh-TW"/>
        </w:rPr>
      </w:r>
      <w:r w:rsidR="0007131D" w:rsidRPr="00583760">
        <w:rPr>
          <w:rFonts w:eastAsiaTheme="minorEastAsia"/>
          <w:lang w:eastAsia="zh-TW"/>
        </w:rPr>
        <w:fldChar w:fldCharType="separate"/>
      </w:r>
      <w:r w:rsidRPr="00482437">
        <w:rPr>
          <w:rFonts w:eastAsiaTheme="minorEastAsia"/>
          <w:lang w:eastAsia="zh-TW"/>
        </w:rPr>
        <w:t>Figure 7</w:t>
      </w:r>
      <w:r w:rsidR="0007131D" w:rsidRPr="00583760">
        <w:rPr>
          <w:rFonts w:eastAsiaTheme="minorEastAsia"/>
          <w:lang w:val="en-GB" w:eastAsia="zh-TW"/>
        </w:rPr>
        <w:fldChar w:fldCharType="end"/>
      </w:r>
      <w:r w:rsidR="0007131D" w:rsidRPr="00583760">
        <w:rPr>
          <w:rFonts w:eastAsiaTheme="minorEastAsia"/>
          <w:lang w:eastAsia="zh-TW"/>
        </w:rPr>
        <w:t xml:space="preserve"> shows the evaluation results for </w:t>
      </w:r>
      <w:r w:rsidR="0007131D">
        <w:rPr>
          <w:rFonts w:eastAsiaTheme="minorEastAsia" w:hint="eastAsia"/>
          <w:lang w:eastAsia="zh-TW"/>
        </w:rPr>
        <w:t xml:space="preserve">frequency (1CC/2CC) domain </w:t>
      </w:r>
      <w:r w:rsidR="0007131D" w:rsidRPr="00583760">
        <w:rPr>
          <w:rFonts w:eastAsiaTheme="minorEastAsia"/>
          <w:lang w:eastAsia="zh-TW"/>
        </w:rPr>
        <w:t>adaptation using a common adaptation indication.</w:t>
      </w:r>
      <w:r w:rsidR="0007131D">
        <w:rPr>
          <w:rFonts w:eastAsiaTheme="minorEastAsia" w:hint="eastAsia"/>
          <w:lang w:eastAsia="zh-TW"/>
        </w:rPr>
        <w:t xml:space="preserve"> </w:t>
      </w:r>
      <w:r w:rsidR="0007131D" w:rsidRPr="00583760">
        <w:rPr>
          <w:rFonts w:eastAsiaTheme="minorEastAsia"/>
          <w:lang w:eastAsia="zh-TW"/>
        </w:rPr>
        <w:t xml:space="preserve">The results show that joint adaptation benefits both BS and UE energy efficiency: BS energy efficiency improves by </w:t>
      </w:r>
      <w:r w:rsidR="0007131D">
        <w:rPr>
          <w:rFonts w:eastAsiaTheme="minorEastAsia" w:hint="eastAsia"/>
          <w:lang w:eastAsia="zh-TW"/>
        </w:rPr>
        <w:t>2</w:t>
      </w:r>
      <w:r w:rsidR="0007131D" w:rsidRPr="00583760">
        <w:rPr>
          <w:rFonts w:eastAsiaTheme="minorEastAsia"/>
          <w:lang w:eastAsia="zh-TW"/>
        </w:rPr>
        <w:t>%~</w:t>
      </w:r>
      <w:r w:rsidR="0007131D">
        <w:rPr>
          <w:rFonts w:eastAsiaTheme="minorEastAsia" w:hint="eastAsia"/>
          <w:lang w:eastAsia="zh-TW"/>
        </w:rPr>
        <w:t>49</w:t>
      </w:r>
      <w:r w:rsidR="0007131D" w:rsidRPr="00583760">
        <w:rPr>
          <w:rFonts w:eastAsiaTheme="minorEastAsia"/>
          <w:lang w:eastAsia="zh-TW"/>
        </w:rPr>
        <w:t>%, and UE energy efficiency improves by 20%~5</w:t>
      </w:r>
      <w:r w:rsidR="0007131D">
        <w:rPr>
          <w:rFonts w:eastAsiaTheme="minorEastAsia" w:hint="eastAsia"/>
          <w:lang w:eastAsia="zh-TW"/>
        </w:rPr>
        <w:t>8</w:t>
      </w:r>
      <w:r w:rsidR="0007131D" w:rsidRPr="00583760">
        <w:rPr>
          <w:rFonts w:eastAsiaTheme="minorEastAsia"/>
          <w:lang w:eastAsia="zh-TW"/>
        </w:rPr>
        <w:t xml:space="preserve">% for cell loads between 5% and </w:t>
      </w:r>
      <w:r w:rsidR="0007131D">
        <w:rPr>
          <w:rFonts w:eastAsiaTheme="minorEastAsia" w:hint="eastAsia"/>
          <w:lang w:eastAsia="zh-TW"/>
        </w:rPr>
        <w:t>2</w:t>
      </w:r>
      <w:r w:rsidR="0007131D" w:rsidRPr="00583760">
        <w:rPr>
          <w:rFonts w:eastAsiaTheme="minorEastAsia"/>
          <w:lang w:eastAsia="zh-TW"/>
        </w:rPr>
        <w:t>5%.</w:t>
      </w:r>
      <w:bookmarkStart w:id="34" w:name="_Ref210449701"/>
    </w:p>
    <w:p w14:paraId="480BD9CD" w14:textId="23A6D081" w:rsidR="0007131D" w:rsidRPr="00583760" w:rsidRDefault="0007131D" w:rsidP="0007131D">
      <w:pPr>
        <w:rPr>
          <w:rFonts w:eastAsiaTheme="minorEastAsia"/>
          <w:b/>
          <w:lang w:eastAsia="zh-TW"/>
        </w:rPr>
      </w:pPr>
      <w:bookmarkStart w:id="35" w:name="_Ref213476490"/>
      <w:bookmarkStart w:id="36" w:name="_Ref220682011"/>
      <w:r w:rsidRPr="00583760">
        <w:rPr>
          <w:rFonts w:eastAsiaTheme="minorEastAsia"/>
          <w:b/>
          <w:lang w:eastAsia="zh-TW"/>
        </w:rPr>
        <w:t xml:space="preserve">Observation </w:t>
      </w:r>
      <w:r w:rsidRPr="00583760">
        <w:rPr>
          <w:rFonts w:eastAsiaTheme="minorEastAsia"/>
          <w:lang w:eastAsia="zh-TW"/>
        </w:rPr>
        <w:fldChar w:fldCharType="begin"/>
      </w:r>
      <w:r w:rsidRPr="00583760">
        <w:rPr>
          <w:rFonts w:eastAsiaTheme="minorEastAsia"/>
          <w:b/>
          <w:lang w:eastAsia="zh-TW"/>
        </w:rPr>
        <w:instrText xml:space="preserve"> SEQ Observation \* ARABIC </w:instrText>
      </w:r>
      <w:r w:rsidRPr="00583760">
        <w:rPr>
          <w:rFonts w:eastAsiaTheme="minorEastAsia"/>
          <w:lang w:eastAsia="zh-TW"/>
        </w:rPr>
        <w:fldChar w:fldCharType="separate"/>
      </w:r>
      <w:r w:rsidR="00482437">
        <w:rPr>
          <w:rFonts w:eastAsiaTheme="minorEastAsia"/>
          <w:b/>
          <w:noProof/>
          <w:lang w:eastAsia="zh-TW"/>
        </w:rPr>
        <w:t>13</w:t>
      </w:r>
      <w:r w:rsidRPr="00583760">
        <w:rPr>
          <w:rFonts w:eastAsiaTheme="minorEastAsia"/>
          <w:lang w:val="en-GB" w:eastAsia="zh-TW"/>
        </w:rPr>
        <w:fldChar w:fldCharType="end"/>
      </w:r>
      <w:r w:rsidRPr="00583760">
        <w:rPr>
          <w:rFonts w:eastAsiaTheme="minorEastAsia"/>
          <w:b/>
          <w:lang w:eastAsia="zh-TW"/>
        </w:rPr>
        <w:t>:</w:t>
      </w:r>
      <w:r w:rsidRPr="00583760">
        <w:rPr>
          <w:rFonts w:eastAsiaTheme="minorEastAsia"/>
          <w:lang w:eastAsia="zh-TW"/>
        </w:rPr>
        <w:t xml:space="preserve"> </w:t>
      </w:r>
      <w:bookmarkEnd w:id="34"/>
      <w:bookmarkEnd w:id="35"/>
      <w:r w:rsidRPr="00FD5A17">
        <w:rPr>
          <w:rFonts w:eastAsiaTheme="minorEastAsia"/>
          <w:b/>
          <w:lang w:eastAsia="zh-TW"/>
        </w:rPr>
        <w:t xml:space="preserve">The BWP framework not only benefits UE bandwidth adaptation but also enables adaptation for network energy savings, potentially achieving joint BS/UE </w:t>
      </w:r>
      <w:r>
        <w:rPr>
          <w:rFonts w:eastAsiaTheme="minorEastAsia" w:hint="eastAsia"/>
          <w:b/>
          <w:lang w:eastAsia="zh-TW"/>
        </w:rPr>
        <w:t>energy efficiency</w:t>
      </w:r>
      <w:r w:rsidRPr="00FD5A17">
        <w:rPr>
          <w:rFonts w:eastAsiaTheme="minorEastAsia"/>
          <w:b/>
          <w:lang w:eastAsia="zh-TW"/>
        </w:rPr>
        <w:t xml:space="preserve"> improvements. BWP switching for frequency</w:t>
      </w:r>
      <w:r>
        <w:rPr>
          <w:rFonts w:eastAsiaTheme="minorEastAsia" w:hint="eastAsia"/>
          <w:b/>
          <w:lang w:eastAsia="zh-TW"/>
        </w:rPr>
        <w:t xml:space="preserve"> </w:t>
      </w:r>
      <w:r w:rsidRPr="00FD5A17">
        <w:rPr>
          <w:rFonts w:eastAsiaTheme="minorEastAsia"/>
          <w:b/>
          <w:lang w:eastAsia="zh-TW"/>
        </w:rPr>
        <w:t xml:space="preserve">domain adaptation, using a common indication, provides significant gains: BS </w:t>
      </w:r>
      <w:r>
        <w:rPr>
          <w:rFonts w:eastAsiaTheme="minorEastAsia" w:hint="eastAsia"/>
          <w:b/>
          <w:lang w:eastAsia="zh-TW"/>
        </w:rPr>
        <w:t>energy efficiency</w:t>
      </w:r>
      <w:r w:rsidRPr="00FD5A17">
        <w:rPr>
          <w:rFonts w:eastAsiaTheme="minorEastAsia"/>
          <w:b/>
          <w:lang w:eastAsia="zh-TW"/>
        </w:rPr>
        <w:t xml:space="preserve"> improves by 2%</w:t>
      </w:r>
      <w:r>
        <w:rPr>
          <w:rFonts w:eastAsiaTheme="minorEastAsia" w:hint="eastAsia"/>
          <w:b/>
          <w:lang w:eastAsia="zh-TW"/>
        </w:rPr>
        <w:t>~</w:t>
      </w:r>
      <w:r w:rsidRPr="00FD5A17">
        <w:rPr>
          <w:rFonts w:eastAsiaTheme="minorEastAsia"/>
          <w:b/>
          <w:lang w:eastAsia="zh-TW"/>
        </w:rPr>
        <w:t xml:space="preserve">49%, and UE </w:t>
      </w:r>
      <w:r>
        <w:rPr>
          <w:rFonts w:eastAsiaTheme="minorEastAsia" w:hint="eastAsia"/>
          <w:b/>
          <w:lang w:eastAsia="zh-TW"/>
        </w:rPr>
        <w:t>energy efficiency</w:t>
      </w:r>
      <w:r w:rsidRPr="00FD5A17">
        <w:rPr>
          <w:rFonts w:eastAsiaTheme="minorEastAsia"/>
          <w:b/>
          <w:lang w:eastAsia="zh-TW"/>
        </w:rPr>
        <w:t xml:space="preserve"> improves by 20%</w:t>
      </w:r>
      <w:r>
        <w:rPr>
          <w:rFonts w:eastAsiaTheme="minorEastAsia" w:hint="eastAsia"/>
          <w:b/>
          <w:lang w:eastAsia="zh-TW"/>
        </w:rPr>
        <w:t>~</w:t>
      </w:r>
      <w:r w:rsidRPr="00FD5A17">
        <w:rPr>
          <w:rFonts w:eastAsiaTheme="minorEastAsia"/>
          <w:b/>
          <w:lang w:eastAsia="zh-TW"/>
        </w:rPr>
        <w:t xml:space="preserve">58% </w:t>
      </w:r>
      <w:r>
        <w:rPr>
          <w:rFonts w:eastAsiaTheme="minorEastAsia" w:hint="eastAsia"/>
          <w:b/>
          <w:lang w:eastAsia="zh-TW"/>
        </w:rPr>
        <w:t>for</w:t>
      </w:r>
      <w:r w:rsidRPr="00FD5A17">
        <w:rPr>
          <w:rFonts w:eastAsiaTheme="minorEastAsia"/>
          <w:b/>
          <w:lang w:eastAsia="zh-TW"/>
        </w:rPr>
        <w:t xml:space="preserve"> cell loads between 5% and 25%.</w:t>
      </w:r>
      <w:bookmarkEnd w:id="36"/>
    </w:p>
    <w:p w14:paraId="09AF6298" w14:textId="11FB6474" w:rsidR="0007131D" w:rsidRDefault="0007131D" w:rsidP="0007131D">
      <w:pPr>
        <w:rPr>
          <w:rFonts w:eastAsiaTheme="minorEastAsia"/>
          <w:b/>
          <w:bCs/>
          <w:lang w:eastAsia="zh-TW"/>
        </w:rPr>
      </w:pPr>
      <w:bookmarkStart w:id="37" w:name="_Ref210449690"/>
      <w:bookmarkStart w:id="38" w:name="_Ref213476457"/>
      <w:bookmarkStart w:id="39" w:name="_Ref220682517"/>
      <w:r w:rsidRPr="00583760">
        <w:rPr>
          <w:rFonts w:eastAsiaTheme="minorEastAsia"/>
          <w:b/>
          <w:lang w:eastAsia="zh-TW"/>
        </w:rPr>
        <w:t xml:space="preserve">Proposal </w:t>
      </w:r>
      <w:r w:rsidRPr="00583760">
        <w:rPr>
          <w:rFonts w:eastAsiaTheme="minorEastAsia"/>
          <w:lang w:eastAsia="zh-TW"/>
        </w:rPr>
        <w:fldChar w:fldCharType="begin"/>
      </w:r>
      <w:r w:rsidRPr="00583760">
        <w:rPr>
          <w:rFonts w:eastAsiaTheme="minorEastAsia"/>
          <w:b/>
          <w:lang w:eastAsia="zh-TW"/>
        </w:rPr>
        <w:instrText xml:space="preserve"> SEQ Proposal \* ARABIC </w:instrText>
      </w:r>
      <w:r w:rsidRPr="00583760">
        <w:rPr>
          <w:rFonts w:eastAsiaTheme="minorEastAsia"/>
          <w:lang w:eastAsia="zh-TW"/>
        </w:rPr>
        <w:fldChar w:fldCharType="separate"/>
      </w:r>
      <w:r w:rsidR="00482437">
        <w:rPr>
          <w:rFonts w:eastAsiaTheme="minorEastAsia"/>
          <w:b/>
          <w:noProof/>
          <w:lang w:eastAsia="zh-TW"/>
        </w:rPr>
        <w:t>17</w:t>
      </w:r>
      <w:r w:rsidRPr="00583760">
        <w:rPr>
          <w:rFonts w:eastAsiaTheme="minorEastAsia"/>
          <w:lang w:val="en-GB" w:eastAsia="zh-TW"/>
        </w:rPr>
        <w:fldChar w:fldCharType="end"/>
      </w:r>
      <w:r w:rsidRPr="00583760">
        <w:rPr>
          <w:rFonts w:eastAsiaTheme="minorEastAsia"/>
          <w:b/>
          <w:lang w:eastAsia="zh-TW"/>
        </w:rPr>
        <w:t xml:space="preserve">: </w:t>
      </w:r>
      <w:bookmarkEnd w:id="37"/>
      <w:r w:rsidRPr="00583760">
        <w:rPr>
          <w:rFonts w:eastAsiaTheme="minorEastAsia"/>
          <w:b/>
          <w:bCs/>
          <w:lang w:eastAsia="zh-TW"/>
        </w:rPr>
        <w:t xml:space="preserve">Study </w:t>
      </w:r>
      <w:bookmarkEnd w:id="38"/>
      <w:r>
        <w:rPr>
          <w:rFonts w:eastAsiaTheme="minorEastAsia" w:hint="eastAsia"/>
          <w:b/>
          <w:bCs/>
          <w:lang w:eastAsia="zh-TW"/>
        </w:rPr>
        <w:t>c</w:t>
      </w:r>
      <w:r w:rsidRPr="00583760">
        <w:rPr>
          <w:rFonts w:eastAsiaTheme="minorEastAsia"/>
          <w:b/>
          <w:bCs/>
          <w:lang w:eastAsia="zh-TW"/>
        </w:rPr>
        <w:t xml:space="preserve">ell/group-wise </w:t>
      </w:r>
      <w:r>
        <w:rPr>
          <w:rFonts w:eastAsiaTheme="minorEastAsia" w:hint="eastAsia"/>
          <w:b/>
          <w:bCs/>
          <w:lang w:eastAsia="zh-TW"/>
        </w:rPr>
        <w:t xml:space="preserve">BWP switching </w:t>
      </w:r>
      <w:r w:rsidRPr="00583760">
        <w:rPr>
          <w:rFonts w:eastAsiaTheme="minorEastAsia"/>
          <w:b/>
          <w:bCs/>
          <w:lang w:eastAsia="zh-TW"/>
        </w:rPr>
        <w:t>indication for</w:t>
      </w:r>
      <w:r w:rsidR="00DF7573">
        <w:rPr>
          <w:rFonts w:eastAsiaTheme="minorEastAsia"/>
          <w:b/>
          <w:bCs/>
          <w:lang w:eastAsia="zh-TW"/>
        </w:rPr>
        <w:t xml:space="preserve"> joint UE and</w:t>
      </w:r>
      <w:r w:rsidRPr="00583760">
        <w:rPr>
          <w:rFonts w:eastAsiaTheme="minorEastAsia"/>
          <w:b/>
          <w:bCs/>
          <w:lang w:eastAsia="zh-TW"/>
        </w:rPr>
        <w:t xml:space="preserve"> network energy saving</w:t>
      </w:r>
      <w:r>
        <w:rPr>
          <w:rFonts w:eastAsiaTheme="minorEastAsia" w:hint="eastAsia"/>
          <w:b/>
          <w:bCs/>
          <w:lang w:eastAsia="zh-TW"/>
        </w:rPr>
        <w:t xml:space="preserve"> in 6G.</w:t>
      </w:r>
      <w:bookmarkEnd w:id="39"/>
    </w:p>
    <w:p w14:paraId="286621E2" w14:textId="77777777" w:rsidR="0007131D" w:rsidRPr="00583760" w:rsidRDefault="0007131D" w:rsidP="0007131D">
      <w:pPr>
        <w:rPr>
          <w:rFonts w:eastAsiaTheme="minorEastAsia"/>
          <w:b/>
          <w:bCs/>
          <w:lang w:eastAsia="zh-TW"/>
        </w:rPr>
      </w:pPr>
    </w:p>
    <w:p w14:paraId="712EAB92" w14:textId="2E3C6BD3" w:rsidR="0007131D" w:rsidRPr="00583760" w:rsidRDefault="00AB59C1" w:rsidP="0007131D">
      <w:pPr>
        <w:jc w:val="center"/>
        <w:rPr>
          <w:rFonts w:eastAsiaTheme="minorEastAsia"/>
          <w:lang w:eastAsia="zh-TW"/>
        </w:rPr>
      </w:pPr>
      <w:bookmarkStart w:id="40" w:name="_Ref210315509"/>
      <w:r>
        <w:rPr>
          <w:rFonts w:eastAsiaTheme="minorEastAsia"/>
          <w:noProof/>
          <w:lang w:eastAsia="zh-TW"/>
        </w:rPr>
        <w:drawing>
          <wp:inline distT="0" distB="0" distL="0" distR="0" wp14:anchorId="5F013C97" wp14:editId="78F16974">
            <wp:extent cx="2700000" cy="3028051"/>
            <wp:effectExtent l="0" t="0" r="5715" b="0"/>
            <wp:docPr id="122568065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00000" cy="3028051"/>
                    </a:xfrm>
                    <a:prstGeom prst="rect">
                      <a:avLst/>
                    </a:prstGeom>
                    <a:noFill/>
                  </pic:spPr>
                </pic:pic>
              </a:graphicData>
            </a:graphic>
          </wp:inline>
        </w:drawing>
      </w:r>
    </w:p>
    <w:p w14:paraId="26790364" w14:textId="3560B0AC" w:rsidR="0007131D" w:rsidRPr="00AF2A65" w:rsidRDefault="0007131D" w:rsidP="0007131D">
      <w:pPr>
        <w:jc w:val="center"/>
        <w:rPr>
          <w:rFonts w:eastAsiaTheme="minorEastAsia"/>
          <w:bCs/>
          <w:lang w:eastAsia="zh-TW"/>
        </w:rPr>
      </w:pPr>
      <w:r w:rsidRPr="00AF2A65">
        <w:rPr>
          <w:rFonts w:eastAsiaTheme="minorEastAsia"/>
          <w:bCs/>
          <w:lang w:eastAsia="zh-TW"/>
        </w:rPr>
        <w:t xml:space="preserve">Figure </w:t>
      </w:r>
      <w:r w:rsidRPr="00AF2A65">
        <w:rPr>
          <w:rFonts w:eastAsiaTheme="minorEastAsia"/>
          <w:bCs/>
          <w:lang w:eastAsia="zh-TW"/>
        </w:rPr>
        <w:fldChar w:fldCharType="begin"/>
      </w:r>
      <w:r w:rsidRPr="00AF2A65">
        <w:rPr>
          <w:rFonts w:eastAsiaTheme="minorEastAsia"/>
          <w:bCs/>
          <w:lang w:eastAsia="zh-TW"/>
        </w:rPr>
        <w:instrText xml:space="preserve"> SEQ Figure \* ARABIC </w:instrText>
      </w:r>
      <w:r w:rsidRPr="00AF2A65">
        <w:rPr>
          <w:rFonts w:eastAsiaTheme="minorEastAsia"/>
          <w:bCs/>
          <w:lang w:eastAsia="zh-TW"/>
        </w:rPr>
        <w:fldChar w:fldCharType="separate"/>
      </w:r>
      <w:r w:rsidR="00482437">
        <w:rPr>
          <w:rFonts w:eastAsiaTheme="minorEastAsia"/>
          <w:bCs/>
          <w:noProof/>
          <w:lang w:eastAsia="zh-TW"/>
        </w:rPr>
        <w:t>6</w:t>
      </w:r>
      <w:r w:rsidRPr="00AF2A65">
        <w:rPr>
          <w:rFonts w:eastAsiaTheme="minorEastAsia"/>
          <w:bCs/>
          <w:lang w:val="en-GB" w:eastAsia="zh-TW"/>
        </w:rPr>
        <w:fldChar w:fldCharType="end"/>
      </w:r>
      <w:bookmarkEnd w:id="40"/>
      <w:r w:rsidR="00AF2A65" w:rsidRPr="00AF2A65">
        <w:rPr>
          <w:rFonts w:eastAsiaTheme="minorEastAsia" w:hint="eastAsia"/>
          <w:bCs/>
          <w:lang w:eastAsia="zh-TW"/>
        </w:rPr>
        <w:t>.</w:t>
      </w:r>
      <w:r w:rsidRPr="00AF2A65">
        <w:rPr>
          <w:rFonts w:eastAsiaTheme="minorEastAsia"/>
          <w:bCs/>
          <w:lang w:eastAsia="zh-TW"/>
        </w:rPr>
        <w:t xml:space="preserve"> Example of utilizing BWP framework for joint EE adaptation for low/medium cell load</w:t>
      </w:r>
    </w:p>
    <w:p w14:paraId="0B83D6D8" w14:textId="77777777" w:rsidR="0007131D" w:rsidRPr="00583760" w:rsidRDefault="0007131D" w:rsidP="0007131D">
      <w:pPr>
        <w:jc w:val="center"/>
        <w:rPr>
          <w:rFonts w:eastAsiaTheme="minorEastAsia"/>
          <w:b/>
          <w:lang w:eastAsia="zh-TW"/>
        </w:rPr>
      </w:pPr>
    </w:p>
    <w:p w14:paraId="5BD5C2D5" w14:textId="77777777" w:rsidR="0007131D" w:rsidRPr="00583760" w:rsidRDefault="0007131D" w:rsidP="0007131D">
      <w:pPr>
        <w:jc w:val="center"/>
        <w:rPr>
          <w:rFonts w:eastAsiaTheme="minorEastAsia"/>
          <w:lang w:eastAsia="zh-TW"/>
        </w:rPr>
      </w:pPr>
      <w:r>
        <w:rPr>
          <w:noProof/>
        </w:rPr>
        <w:lastRenderedPageBreak/>
        <w:drawing>
          <wp:inline distT="0" distB="0" distL="0" distR="0" wp14:anchorId="3FDA37B2" wp14:editId="7D41EE9A">
            <wp:extent cx="4461753" cy="2204937"/>
            <wp:effectExtent l="0" t="0" r="15240" b="5080"/>
            <wp:docPr id="1236980445" name="圖表 1">
              <a:extLst xmlns:a="http://schemas.openxmlformats.org/drawingml/2006/main">
                <a:ext uri="{FF2B5EF4-FFF2-40B4-BE49-F238E27FC236}">
                  <a16:creationId xmlns:a16="http://schemas.microsoft.com/office/drawing/2014/main" id="{00DADFDC-2496-43D3-A761-26481597AA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8F4AB49" w14:textId="7C46CFB7" w:rsidR="00F658A5" w:rsidRPr="00113C5B" w:rsidRDefault="0007131D" w:rsidP="00CB02E4">
      <w:pPr>
        <w:jc w:val="center"/>
        <w:rPr>
          <w:rFonts w:eastAsiaTheme="minorEastAsia"/>
          <w:bCs/>
          <w:lang w:eastAsia="zh-TW"/>
        </w:rPr>
      </w:pPr>
      <w:bookmarkStart w:id="41" w:name="_Ref210255095"/>
      <w:r w:rsidRPr="00AF2A65">
        <w:rPr>
          <w:rFonts w:eastAsiaTheme="minorEastAsia"/>
          <w:bCs/>
          <w:lang w:eastAsia="zh-TW"/>
        </w:rPr>
        <w:t xml:space="preserve">Figure </w:t>
      </w:r>
      <w:r w:rsidRPr="00AF2A65">
        <w:rPr>
          <w:rFonts w:eastAsiaTheme="minorEastAsia"/>
          <w:bCs/>
          <w:lang w:eastAsia="zh-TW"/>
        </w:rPr>
        <w:fldChar w:fldCharType="begin"/>
      </w:r>
      <w:r w:rsidRPr="00AF2A65">
        <w:rPr>
          <w:rFonts w:eastAsiaTheme="minorEastAsia"/>
          <w:bCs/>
          <w:lang w:eastAsia="zh-TW"/>
        </w:rPr>
        <w:instrText xml:space="preserve"> SEQ Figure \* ARABIC </w:instrText>
      </w:r>
      <w:r w:rsidRPr="00AF2A65">
        <w:rPr>
          <w:rFonts w:eastAsiaTheme="minorEastAsia"/>
          <w:bCs/>
          <w:lang w:eastAsia="zh-TW"/>
        </w:rPr>
        <w:fldChar w:fldCharType="separate"/>
      </w:r>
      <w:r w:rsidR="00482437">
        <w:rPr>
          <w:rFonts w:eastAsiaTheme="minorEastAsia"/>
          <w:bCs/>
          <w:noProof/>
          <w:lang w:eastAsia="zh-TW"/>
        </w:rPr>
        <w:t>7</w:t>
      </w:r>
      <w:r w:rsidRPr="00AF2A65">
        <w:rPr>
          <w:rFonts w:eastAsiaTheme="minorEastAsia"/>
          <w:bCs/>
          <w:lang w:val="en-GB" w:eastAsia="zh-TW"/>
        </w:rPr>
        <w:fldChar w:fldCharType="end"/>
      </w:r>
      <w:bookmarkEnd w:id="41"/>
      <w:r w:rsidR="00AF2A65" w:rsidRPr="00AF2A65">
        <w:rPr>
          <w:rFonts w:eastAsiaTheme="minorEastAsia" w:hint="eastAsia"/>
          <w:bCs/>
          <w:lang w:eastAsia="zh-TW"/>
        </w:rPr>
        <w:t>.</w:t>
      </w:r>
      <w:r w:rsidRPr="00AF2A65">
        <w:rPr>
          <w:rFonts w:eastAsiaTheme="minorEastAsia"/>
          <w:bCs/>
          <w:lang w:eastAsia="zh-TW"/>
        </w:rPr>
        <w:t xml:space="preserve"> BS/UE energy efficiency benefit via common adaptation in frequency domains</w:t>
      </w:r>
      <w:r w:rsidRPr="00AF2A65">
        <w:rPr>
          <w:rFonts w:eastAsiaTheme="minorEastAsia" w:hint="eastAsia"/>
          <w:bCs/>
          <w:lang w:eastAsia="zh-TW"/>
        </w:rPr>
        <w:t xml:space="preserve"> (</w:t>
      </w:r>
      <w:r w:rsidRPr="00AF2A65">
        <w:rPr>
          <w:rFonts w:eastAsiaTheme="minorEastAsia"/>
          <w:bCs/>
          <w:lang w:eastAsia="zh-TW"/>
        </w:rPr>
        <w:t>baseline</w:t>
      </w:r>
      <w:r w:rsidRPr="00AF2A65">
        <w:rPr>
          <w:rFonts w:eastAsiaTheme="minorEastAsia" w:hint="eastAsia"/>
          <w:bCs/>
          <w:lang w:eastAsia="zh-TW"/>
        </w:rPr>
        <w:t>: R16 BS, R16 UE)</w:t>
      </w:r>
    </w:p>
    <w:p w14:paraId="6316EE33" w14:textId="770BC286" w:rsidR="002835A1" w:rsidRDefault="002835A1" w:rsidP="002835A1">
      <w:pPr>
        <w:pStyle w:val="Heading1"/>
        <w:rPr>
          <w:lang w:val="en-US"/>
        </w:rPr>
      </w:pPr>
      <w:r>
        <w:rPr>
          <w:rFonts w:eastAsiaTheme="minorEastAsia"/>
          <w:lang w:val="en-US" w:eastAsia="zh-TW"/>
        </w:rPr>
        <w:t>Conclusion</w:t>
      </w:r>
      <w:r w:rsidR="006D3FBC">
        <w:rPr>
          <w:rFonts w:eastAsiaTheme="minorEastAsia"/>
          <w:lang w:val="en-US" w:eastAsia="zh-TW"/>
        </w:rPr>
        <w:t>s</w:t>
      </w:r>
      <w:r>
        <w:rPr>
          <w:rFonts w:eastAsiaTheme="minorEastAsia"/>
          <w:lang w:val="en-US" w:eastAsia="zh-TW"/>
        </w:rPr>
        <w:t xml:space="preserve"> </w:t>
      </w:r>
    </w:p>
    <w:p w14:paraId="316853BA" w14:textId="5E7A26CE" w:rsidR="00873629" w:rsidRDefault="00C97B61" w:rsidP="00867C59">
      <w:r>
        <w:t xml:space="preserve">In this contribution, we share our views on bandwidth operation for 6GR design. Observations and proposals are summarized below. </w:t>
      </w:r>
    </w:p>
    <w:p w14:paraId="325ED232" w14:textId="2CCC3483" w:rsidR="00C97B61" w:rsidRPr="003C4829" w:rsidRDefault="00025C98" w:rsidP="00867C59">
      <w:pPr>
        <w:rPr>
          <w:b/>
          <w:bCs/>
        </w:rPr>
      </w:pPr>
      <w:r w:rsidRPr="003C4829">
        <w:rPr>
          <w:b/>
          <w:bCs/>
        </w:rPr>
        <w:fldChar w:fldCharType="begin"/>
      </w:r>
      <w:r w:rsidRPr="003C4829">
        <w:rPr>
          <w:b/>
          <w:bCs/>
        </w:rPr>
        <w:instrText xml:space="preserve"> REF _Ref220681787 \h </w:instrText>
      </w:r>
      <w:r w:rsidR="003C4829">
        <w:rPr>
          <w:b/>
          <w:bCs/>
        </w:rPr>
        <w:instrText xml:space="preserve"> \* MERGEFORMAT </w:instrText>
      </w:r>
      <w:r w:rsidRPr="003C4829">
        <w:rPr>
          <w:b/>
          <w:bCs/>
        </w:rPr>
      </w:r>
      <w:r w:rsidRPr="003C4829">
        <w:rPr>
          <w:b/>
          <w:bCs/>
        </w:rPr>
        <w:fldChar w:fldCharType="separate"/>
      </w:r>
      <w:r w:rsidR="00482437" w:rsidRPr="00482437">
        <w:rPr>
          <w:b/>
          <w:bCs/>
        </w:rPr>
        <w:t xml:space="preserve">Observation </w:t>
      </w:r>
      <w:r w:rsidR="00482437" w:rsidRPr="00482437">
        <w:rPr>
          <w:b/>
          <w:bCs/>
          <w:noProof/>
        </w:rPr>
        <w:t>1</w:t>
      </w:r>
      <w:r w:rsidR="00482437" w:rsidRPr="00482437">
        <w:rPr>
          <w:rFonts w:eastAsia="新細明體"/>
          <w:b/>
          <w:bCs/>
          <w:lang w:eastAsia="zh-TW"/>
        </w:rPr>
        <w:t>: In existing 5G network, BWP use cases of “numerology change” and “full RRC configuration switch” are not used.</w:t>
      </w:r>
      <w:r w:rsidRPr="003C4829">
        <w:rPr>
          <w:b/>
          <w:bCs/>
        </w:rPr>
        <w:fldChar w:fldCharType="end"/>
      </w:r>
    </w:p>
    <w:p w14:paraId="65513EEC" w14:textId="5F75B3DD" w:rsidR="00025C98" w:rsidRPr="003C4829" w:rsidRDefault="00025C98" w:rsidP="00867C59">
      <w:pPr>
        <w:rPr>
          <w:b/>
          <w:bCs/>
        </w:rPr>
      </w:pPr>
      <w:r w:rsidRPr="003C4829">
        <w:rPr>
          <w:b/>
          <w:bCs/>
        </w:rPr>
        <w:fldChar w:fldCharType="begin"/>
      </w:r>
      <w:r w:rsidRPr="003C4829">
        <w:rPr>
          <w:b/>
          <w:bCs/>
        </w:rPr>
        <w:instrText xml:space="preserve"> REF _Ref220681795 \h </w:instrText>
      </w:r>
      <w:r w:rsidR="003C4829">
        <w:rPr>
          <w:b/>
          <w:bCs/>
        </w:rPr>
        <w:instrText xml:space="preserve"> \* MERGEFORMAT </w:instrText>
      </w:r>
      <w:r w:rsidRPr="003C4829">
        <w:rPr>
          <w:b/>
          <w:bCs/>
        </w:rPr>
      </w:r>
      <w:r w:rsidRPr="003C4829">
        <w:rPr>
          <w:b/>
          <w:bCs/>
        </w:rPr>
        <w:fldChar w:fldCharType="separate"/>
      </w:r>
      <w:r w:rsidR="00482437" w:rsidRPr="00482437">
        <w:rPr>
          <w:b/>
          <w:bCs/>
        </w:rPr>
        <w:t xml:space="preserve">Observation </w:t>
      </w:r>
      <w:r w:rsidR="00482437" w:rsidRPr="00482437">
        <w:rPr>
          <w:b/>
          <w:bCs/>
          <w:noProof/>
        </w:rPr>
        <w:t>2</w:t>
      </w:r>
      <w:r w:rsidR="00482437" w:rsidRPr="00482437">
        <w:rPr>
          <w:rFonts w:eastAsia="新細明體"/>
          <w:b/>
          <w:bCs/>
          <w:lang w:eastAsia="zh-TW"/>
        </w:rPr>
        <w:t>: The lessons learned from NR BWP framework include, but not limited to</w:t>
      </w:r>
      <w:r w:rsidRPr="003C4829">
        <w:rPr>
          <w:b/>
          <w:bCs/>
        </w:rPr>
        <w:fldChar w:fldCharType="end"/>
      </w:r>
    </w:p>
    <w:p w14:paraId="2F01793F" w14:textId="77777777" w:rsidR="00025C98" w:rsidRPr="00025C98" w:rsidRDefault="00025C98" w:rsidP="00025C98">
      <w:pPr>
        <w:numPr>
          <w:ilvl w:val="0"/>
          <w:numId w:val="37"/>
        </w:numPr>
        <w:rPr>
          <w:b/>
        </w:rPr>
      </w:pPr>
      <w:r w:rsidRPr="00025C98">
        <w:rPr>
          <w:b/>
        </w:rPr>
        <w:t>Excessive BWP-specific BB/RF configuration parameters, which leads to UE long BWP switch latency</w:t>
      </w:r>
    </w:p>
    <w:p w14:paraId="66953456" w14:textId="77777777" w:rsidR="00025C98" w:rsidRPr="00025C98" w:rsidRDefault="00025C98" w:rsidP="00025C98">
      <w:pPr>
        <w:numPr>
          <w:ilvl w:val="0"/>
          <w:numId w:val="37"/>
        </w:numPr>
        <w:rPr>
          <w:b/>
        </w:rPr>
      </w:pPr>
      <w:r w:rsidRPr="00025C98">
        <w:rPr>
          <w:b/>
        </w:rPr>
        <w:t>SCS switching under BWP framework is complicated</w:t>
      </w:r>
    </w:p>
    <w:p w14:paraId="0505A7E7" w14:textId="77777777" w:rsidR="00025C98" w:rsidRPr="00025C98" w:rsidRDefault="00025C98" w:rsidP="00025C98">
      <w:pPr>
        <w:numPr>
          <w:ilvl w:val="0"/>
          <w:numId w:val="37"/>
        </w:numPr>
        <w:rPr>
          <w:b/>
        </w:rPr>
      </w:pPr>
      <w:r w:rsidRPr="00025C98">
        <w:rPr>
          <w:b/>
        </w:rPr>
        <w:t>Reliability of DCI-based BWP switching in some scenarios (e.g. non-overlapped BWPs)</w:t>
      </w:r>
    </w:p>
    <w:p w14:paraId="45070888" w14:textId="77777777" w:rsidR="00025C98" w:rsidRPr="00025C98" w:rsidRDefault="00025C98" w:rsidP="00025C98">
      <w:pPr>
        <w:numPr>
          <w:ilvl w:val="0"/>
          <w:numId w:val="37"/>
        </w:numPr>
        <w:rPr>
          <w:b/>
        </w:rPr>
      </w:pPr>
      <w:r w:rsidRPr="00025C98">
        <w:rPr>
          <w:b/>
        </w:rPr>
        <w:t>Lack of early RAN4 involvement, which caused sub-optimal design</w:t>
      </w:r>
    </w:p>
    <w:p w14:paraId="35CCC02A" w14:textId="103D25C0" w:rsidR="00025C98" w:rsidRPr="00C61FE7" w:rsidRDefault="00D456AA" w:rsidP="00867C59">
      <w:pPr>
        <w:rPr>
          <w:b/>
          <w:bCs/>
        </w:rPr>
      </w:pPr>
      <w:r w:rsidRPr="00C61FE7">
        <w:rPr>
          <w:b/>
          <w:bCs/>
        </w:rPr>
        <w:fldChar w:fldCharType="begin"/>
      </w:r>
      <w:r w:rsidRPr="00C61FE7">
        <w:rPr>
          <w:b/>
          <w:bCs/>
        </w:rPr>
        <w:instrText xml:space="preserve"> REF _Ref220681844 \h </w:instrText>
      </w:r>
      <w:r w:rsidR="00C61FE7">
        <w:rPr>
          <w:b/>
          <w:bCs/>
        </w:rPr>
        <w:instrText xml:space="preserve"> \* MERGEFORMAT </w:instrText>
      </w:r>
      <w:r w:rsidRPr="00C61FE7">
        <w:rPr>
          <w:b/>
          <w:bCs/>
        </w:rPr>
      </w:r>
      <w:r w:rsidRPr="00C61FE7">
        <w:rPr>
          <w:b/>
          <w:bCs/>
        </w:rPr>
        <w:fldChar w:fldCharType="separate"/>
      </w:r>
      <w:r w:rsidR="00482437" w:rsidRPr="00482437">
        <w:rPr>
          <w:b/>
          <w:bCs/>
        </w:rPr>
        <w:t xml:space="preserve">Observation </w:t>
      </w:r>
      <w:r w:rsidR="00482437" w:rsidRPr="00482437">
        <w:rPr>
          <w:b/>
          <w:bCs/>
          <w:noProof/>
        </w:rPr>
        <w:t>3</w:t>
      </w:r>
      <w:r w:rsidR="00482437" w:rsidRPr="00482437">
        <w:rPr>
          <w:rFonts w:eastAsiaTheme="minorEastAsia"/>
          <w:b/>
          <w:bCs/>
          <w:lang w:eastAsia="zh-TW"/>
        </w:rPr>
        <w:t>: Field deployment reveals that excessive BWP configuration flexibility offers limited practical benefit and adds unnecessary signaling and implementation complexity. A lean, streamlined BWP configuration focusing on core parameters is critical in 6G.</w:t>
      </w:r>
      <w:r w:rsidRPr="00C61FE7">
        <w:rPr>
          <w:b/>
          <w:bCs/>
        </w:rPr>
        <w:fldChar w:fldCharType="end"/>
      </w:r>
    </w:p>
    <w:p w14:paraId="5C03D254" w14:textId="2B6D1904" w:rsidR="00D456AA" w:rsidRDefault="00C61FE7" w:rsidP="00867C59">
      <w:r>
        <w:fldChar w:fldCharType="begin"/>
      </w:r>
      <w:r>
        <w:instrText xml:space="preserve"> REF _Ref220681891 \h </w:instrText>
      </w:r>
      <w:r>
        <w:fldChar w:fldCharType="separate"/>
      </w:r>
      <w:r w:rsidR="00482437" w:rsidRPr="00104C7C">
        <w:rPr>
          <w:rFonts w:eastAsiaTheme="minorEastAsia"/>
          <w:b/>
          <w:lang w:eastAsia="zh-TW"/>
        </w:rPr>
        <w:t xml:space="preserve">Observation </w:t>
      </w:r>
      <w:r w:rsidR="00482437">
        <w:rPr>
          <w:rFonts w:eastAsiaTheme="minorEastAsia"/>
          <w:b/>
          <w:noProof/>
          <w:lang w:eastAsia="zh-TW"/>
        </w:rPr>
        <w:t>4</w:t>
      </w:r>
      <w:r w:rsidR="00482437" w:rsidRPr="00104C7C">
        <w:rPr>
          <w:rFonts w:eastAsiaTheme="minorEastAsia"/>
          <w:b/>
          <w:lang w:eastAsia="zh-TW"/>
        </w:rPr>
        <w:t>: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r>
        <w:fldChar w:fldCharType="end"/>
      </w:r>
    </w:p>
    <w:p w14:paraId="1C1029FC" w14:textId="1D349372" w:rsidR="00C61FE7" w:rsidRDefault="00C61FE7" w:rsidP="00867C59">
      <w:r>
        <w:fldChar w:fldCharType="begin"/>
      </w:r>
      <w:r>
        <w:instrText xml:space="preserve"> REF _Ref220681902 \h </w:instrText>
      </w:r>
      <w:r>
        <w:fldChar w:fldCharType="separate"/>
      </w:r>
      <w:r w:rsidR="00482437" w:rsidRPr="00104C7C">
        <w:rPr>
          <w:rFonts w:eastAsiaTheme="minorEastAsia"/>
          <w:b/>
          <w:lang w:eastAsia="zh-TW"/>
        </w:rPr>
        <w:t xml:space="preserve">Observation </w:t>
      </w:r>
      <w:r w:rsidR="00482437">
        <w:rPr>
          <w:rFonts w:eastAsiaTheme="minorEastAsia"/>
          <w:b/>
          <w:noProof/>
          <w:lang w:eastAsia="zh-TW"/>
        </w:rPr>
        <w:t>5</w:t>
      </w:r>
      <w:r w:rsidR="00482437" w:rsidRPr="00104C7C">
        <w:rPr>
          <w:rFonts w:eastAsiaTheme="minorEastAsia"/>
          <w:b/>
          <w:lang w:eastAsia="zh-TW"/>
        </w:rPr>
        <w:t>: Contiguous resource allocation within a BWP supports efficient UE implementation and energy savings. Potential new scenarios (e.g., SBFD) may require re-evaluating support for non-contiguous allocation for a BWP within a carrier.</w:t>
      </w:r>
      <w:r>
        <w:fldChar w:fldCharType="end"/>
      </w:r>
    </w:p>
    <w:p w14:paraId="2D6AB8DC" w14:textId="3F989158" w:rsidR="00C61FE7" w:rsidRDefault="00C61FE7" w:rsidP="00867C59">
      <w:r>
        <w:fldChar w:fldCharType="begin"/>
      </w:r>
      <w:r>
        <w:instrText xml:space="preserve"> REF _Ref220681909 \h </w:instrText>
      </w:r>
      <w:r>
        <w:fldChar w:fldCharType="separate"/>
      </w:r>
      <w:r w:rsidR="00482437" w:rsidRPr="00104C7C">
        <w:rPr>
          <w:rFonts w:eastAsiaTheme="minorEastAsia"/>
          <w:b/>
          <w:lang w:eastAsia="zh-TW"/>
        </w:rPr>
        <w:t xml:space="preserve">Observation </w:t>
      </w:r>
      <w:r w:rsidR="00482437">
        <w:rPr>
          <w:rFonts w:eastAsiaTheme="minorEastAsia"/>
          <w:b/>
          <w:noProof/>
          <w:lang w:eastAsia="zh-TW"/>
        </w:rPr>
        <w:t>6</w:t>
      </w:r>
      <w:r w:rsidR="00482437" w:rsidRPr="00104C7C">
        <w:rPr>
          <w:rFonts w:eastAsiaTheme="minorEastAsia"/>
          <w:b/>
          <w:lang w:eastAsia="zh-TW"/>
        </w:rPr>
        <w:t xml:space="preserve">: Supporting numerous BWP types </w:t>
      </w:r>
      <w:r w:rsidR="00482437">
        <w:rPr>
          <w:rFonts w:eastAsiaTheme="minorEastAsia"/>
          <w:b/>
          <w:lang w:eastAsia="zh-TW"/>
        </w:rPr>
        <w:t>complicates</w:t>
      </w:r>
      <w:r w:rsidR="00482437" w:rsidRPr="00104C7C">
        <w:rPr>
          <w:rFonts w:eastAsiaTheme="minorEastAsia"/>
          <w:b/>
          <w:lang w:eastAsia="zh-TW"/>
        </w:rPr>
        <w:t xml:space="preserve"> </w:t>
      </w:r>
      <w:r w:rsidR="00482437">
        <w:rPr>
          <w:rFonts w:eastAsiaTheme="minorEastAsia"/>
          <w:b/>
          <w:lang w:eastAsia="zh-TW"/>
        </w:rPr>
        <w:t xml:space="preserve">NR BWP framework </w:t>
      </w:r>
      <w:r w:rsidR="00482437" w:rsidRPr="00104C7C">
        <w:rPr>
          <w:rFonts w:eastAsiaTheme="minorEastAsia"/>
          <w:b/>
          <w:lang w:eastAsia="zh-TW"/>
        </w:rPr>
        <w:t>without clear benefit. Focusing on a minimal set of essential BWP types simplifies</w:t>
      </w:r>
      <w:r w:rsidR="00482437">
        <w:rPr>
          <w:rFonts w:eastAsiaTheme="minorEastAsia"/>
          <w:b/>
          <w:lang w:eastAsia="zh-TW"/>
        </w:rPr>
        <w:t xml:space="preserve"> </w:t>
      </w:r>
      <w:r w:rsidR="00482437" w:rsidRPr="00104C7C">
        <w:rPr>
          <w:rFonts w:eastAsiaTheme="minorEastAsia"/>
          <w:b/>
          <w:lang w:eastAsia="zh-TW"/>
        </w:rPr>
        <w:t>both standardization and implementation while meeting performance and energy efficiency needs.</w:t>
      </w:r>
      <w:r>
        <w:fldChar w:fldCharType="end"/>
      </w:r>
    </w:p>
    <w:p w14:paraId="21F1CA38" w14:textId="0C854281" w:rsidR="00C61FE7" w:rsidRDefault="00C61FE7" w:rsidP="00867C59">
      <w:r>
        <w:fldChar w:fldCharType="begin"/>
      </w:r>
      <w:r>
        <w:instrText xml:space="preserve"> REF _Ref220681915 \h </w:instrText>
      </w:r>
      <w:r>
        <w:fldChar w:fldCharType="separate"/>
      </w:r>
      <w:r w:rsidR="00482437" w:rsidRPr="0007131D">
        <w:rPr>
          <w:rFonts w:eastAsiaTheme="minorEastAsia"/>
          <w:b/>
          <w:lang w:eastAsia="zh-TW"/>
        </w:rPr>
        <w:t xml:space="preserve">Observation </w:t>
      </w:r>
      <w:r w:rsidR="00482437">
        <w:rPr>
          <w:rFonts w:eastAsiaTheme="minorEastAsia"/>
          <w:b/>
          <w:noProof/>
          <w:lang w:eastAsia="zh-TW"/>
        </w:rPr>
        <w:t>7</w:t>
      </w:r>
      <w:r w:rsidR="00482437" w:rsidRPr="0007131D">
        <w:rPr>
          <w:rFonts w:eastAsiaTheme="minorEastAsia"/>
          <w:b/>
          <w:lang w:eastAsia="zh-TW"/>
        </w:rPr>
        <w:t>: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r>
        <w:fldChar w:fldCharType="end"/>
      </w:r>
    </w:p>
    <w:p w14:paraId="4B77DFAE" w14:textId="6BAFFDB1" w:rsidR="00C61FE7" w:rsidRDefault="00C61FE7" w:rsidP="00867C59">
      <w:r>
        <w:fldChar w:fldCharType="begin"/>
      </w:r>
      <w:r>
        <w:instrText xml:space="preserve"> REF _Ref220681922 \h </w:instrText>
      </w:r>
      <w:r>
        <w:fldChar w:fldCharType="separate"/>
      </w:r>
      <w:r w:rsidR="00482437" w:rsidRPr="0007131D">
        <w:rPr>
          <w:rFonts w:eastAsiaTheme="minorEastAsia"/>
          <w:b/>
          <w:lang w:eastAsia="zh-TW"/>
        </w:rPr>
        <w:t xml:space="preserve">Observation </w:t>
      </w:r>
      <w:r w:rsidR="00482437">
        <w:rPr>
          <w:rFonts w:eastAsiaTheme="minorEastAsia"/>
          <w:b/>
          <w:noProof/>
          <w:lang w:eastAsia="zh-TW"/>
        </w:rPr>
        <w:t>8</w:t>
      </w:r>
      <w:r w:rsidR="00482437" w:rsidRPr="0007131D">
        <w:rPr>
          <w:rFonts w:eastAsiaTheme="minorEastAsia"/>
          <w:b/>
          <w:lang w:eastAsia="zh-TW"/>
        </w:rPr>
        <w:t>: The complexity and duration of BWP switching procedures are highly dependent on which parameters are changed during the switch. Coordinating with RAN4 to standardize a limited, well-defined subset of changeable parameters is key to enabling lean and fast BWP switching.</w:t>
      </w:r>
      <w:r>
        <w:fldChar w:fldCharType="end"/>
      </w:r>
    </w:p>
    <w:p w14:paraId="510849C9" w14:textId="66C1C08C" w:rsidR="00C61FE7" w:rsidRDefault="00C61FE7" w:rsidP="00867C59">
      <w:r>
        <w:fldChar w:fldCharType="begin"/>
      </w:r>
      <w:r>
        <w:instrText xml:space="preserve"> REF _Ref220681929 \h </w:instrText>
      </w:r>
      <w:r>
        <w:fldChar w:fldCharType="separate"/>
      </w:r>
      <w:r w:rsidR="00482437" w:rsidRPr="0007131D">
        <w:rPr>
          <w:rFonts w:eastAsiaTheme="minorEastAsia"/>
          <w:b/>
          <w:lang w:eastAsia="zh-TW"/>
        </w:rPr>
        <w:t xml:space="preserve">Observation </w:t>
      </w:r>
      <w:r w:rsidR="00482437">
        <w:rPr>
          <w:rFonts w:eastAsiaTheme="minorEastAsia"/>
          <w:b/>
          <w:noProof/>
          <w:lang w:eastAsia="zh-TW"/>
        </w:rPr>
        <w:t>9</w:t>
      </w:r>
      <w:r w:rsidR="00482437" w:rsidRPr="0007131D">
        <w:rPr>
          <w:rFonts w:eastAsiaTheme="minorEastAsia"/>
          <w:b/>
          <w:lang w:eastAsia="zh-TW"/>
        </w:rPr>
        <w:t>: In NR BWP, interruption time and switching delay are tightly coupled, meaning that DL/UL scheduling is unavailable throughout the switch duration. Decoupling these two parameters can significantly improve scheduling efficiency and user experience.</w:t>
      </w:r>
      <w:r>
        <w:fldChar w:fldCharType="end"/>
      </w:r>
    </w:p>
    <w:p w14:paraId="7B129ED0" w14:textId="15DDBB46" w:rsidR="00C61FE7" w:rsidRDefault="00C61FE7" w:rsidP="00867C59">
      <w:r>
        <w:lastRenderedPageBreak/>
        <w:fldChar w:fldCharType="begin"/>
      </w:r>
      <w:r>
        <w:instrText xml:space="preserve"> REF _Ref220681935 \h </w:instrText>
      </w:r>
      <w:r>
        <w:fldChar w:fldCharType="separate"/>
      </w:r>
      <w:r w:rsidR="00482437" w:rsidRPr="0007131D">
        <w:rPr>
          <w:rFonts w:eastAsiaTheme="minorEastAsia"/>
          <w:b/>
          <w:lang w:eastAsia="zh-TW"/>
        </w:rPr>
        <w:t xml:space="preserve">Observation </w:t>
      </w:r>
      <w:r w:rsidR="00482437">
        <w:rPr>
          <w:rFonts w:eastAsiaTheme="minorEastAsia"/>
          <w:b/>
          <w:noProof/>
          <w:lang w:eastAsia="zh-TW"/>
        </w:rPr>
        <w:t>10</w:t>
      </w:r>
      <w:r w:rsidR="00482437" w:rsidRPr="0007131D">
        <w:rPr>
          <w:rFonts w:eastAsiaTheme="minorEastAsia"/>
          <w:b/>
          <w:lang w:eastAsia="zh-TW"/>
        </w:rPr>
        <w:t>: Aligning the center frequency and switching of DL and UL BWPs is unnecessary in many operational scenarios. Decoupling DL and UL BWP switching enables more flexible and efficient resource allocation.</w:t>
      </w:r>
      <w:r>
        <w:fldChar w:fldCharType="end"/>
      </w:r>
    </w:p>
    <w:p w14:paraId="53E9BDBA" w14:textId="27F2DAD6" w:rsidR="00C61FE7" w:rsidRDefault="00487D4C" w:rsidP="00867C59">
      <w:r>
        <w:fldChar w:fldCharType="begin"/>
      </w:r>
      <w:r>
        <w:instrText xml:space="preserve"> REF _Ref220682001 \h </w:instrText>
      </w:r>
      <w:r>
        <w:fldChar w:fldCharType="separate"/>
      </w:r>
      <w:r w:rsidR="00482437" w:rsidRPr="0007131D">
        <w:rPr>
          <w:rFonts w:eastAsiaTheme="minorEastAsia"/>
          <w:b/>
          <w:lang w:eastAsia="zh-TW"/>
        </w:rPr>
        <w:t xml:space="preserve">Observation </w:t>
      </w:r>
      <w:r w:rsidR="00482437">
        <w:rPr>
          <w:rFonts w:eastAsiaTheme="minorEastAsia"/>
          <w:b/>
          <w:noProof/>
          <w:lang w:eastAsia="zh-TW"/>
        </w:rPr>
        <w:t>11</w:t>
      </w:r>
      <w:r w:rsidR="00482437" w:rsidRPr="0007131D">
        <w:rPr>
          <w:rFonts w:eastAsiaTheme="minorEastAsia"/>
          <w:b/>
          <w:lang w:eastAsia="zh-TW"/>
        </w:rPr>
        <w:t xml:space="preserve">: While DCI-based BWP switching enables fast transitions, </w:t>
      </w:r>
      <w:r w:rsidR="00482437">
        <w:rPr>
          <w:rFonts w:eastAsiaTheme="minorEastAsia"/>
          <w:b/>
          <w:lang w:eastAsia="zh-TW"/>
        </w:rPr>
        <w:t xml:space="preserve">in some scenarios, </w:t>
      </w:r>
      <w:r w:rsidR="00482437" w:rsidRPr="0007131D">
        <w:rPr>
          <w:rFonts w:eastAsiaTheme="minorEastAsia"/>
          <w:b/>
          <w:lang w:eastAsia="zh-TW"/>
        </w:rPr>
        <w:t>it is subject to reliability issues such as missed detection and false alarms, which can lead to misalignment of BWP state between the network and UE. Improving the reliability of DCI-based BWP switching is essential for 6G</w:t>
      </w:r>
      <w:r w:rsidR="00482437">
        <w:rPr>
          <w:rFonts w:eastAsiaTheme="minorEastAsia"/>
          <w:b/>
          <w:lang w:eastAsia="zh-TW"/>
        </w:rPr>
        <w:t>.</w:t>
      </w:r>
      <w:r>
        <w:fldChar w:fldCharType="end"/>
      </w:r>
    </w:p>
    <w:p w14:paraId="01C2695C" w14:textId="6946951C" w:rsidR="00487D4C" w:rsidRDefault="00487D4C" w:rsidP="00867C59">
      <w:r>
        <w:fldChar w:fldCharType="begin"/>
      </w:r>
      <w:r>
        <w:instrText xml:space="preserve"> REF _Ref220682021 \h </w:instrText>
      </w:r>
      <w:r>
        <w:fldChar w:fldCharType="separate"/>
      </w:r>
      <w:r w:rsidR="00482437" w:rsidRPr="0007131D">
        <w:rPr>
          <w:rFonts w:eastAsiaTheme="minorEastAsia"/>
          <w:b/>
          <w:lang w:eastAsia="zh-TW"/>
        </w:rPr>
        <w:t xml:space="preserve">Observation </w:t>
      </w:r>
      <w:r w:rsidR="00482437">
        <w:rPr>
          <w:rFonts w:eastAsiaTheme="minorEastAsia"/>
          <w:b/>
          <w:noProof/>
          <w:lang w:eastAsia="zh-TW"/>
        </w:rPr>
        <w:t>12</w:t>
      </w:r>
      <w:r w:rsidR="00482437" w:rsidRPr="0007131D">
        <w:rPr>
          <w:rFonts w:eastAsiaTheme="minorEastAsia"/>
          <w:b/>
          <w:lang w:eastAsia="zh-TW"/>
        </w:rPr>
        <w:t xml:space="preserve">: </w:t>
      </w:r>
      <w:r w:rsidR="00482437" w:rsidRPr="0007131D">
        <w:rPr>
          <w:rFonts w:eastAsiaTheme="minorEastAsia"/>
          <w:b/>
          <w:bCs/>
          <w:lang w:eastAsia="zh-TW"/>
        </w:rPr>
        <w:t>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r>
        <w:fldChar w:fldCharType="end"/>
      </w:r>
    </w:p>
    <w:p w14:paraId="6B268490" w14:textId="2CB355EB" w:rsidR="00487D4C" w:rsidRDefault="00487D4C" w:rsidP="00867C59">
      <w:r>
        <w:fldChar w:fldCharType="begin"/>
      </w:r>
      <w:r>
        <w:instrText xml:space="preserve"> REF _Ref220682011 \h </w:instrText>
      </w:r>
      <w:r>
        <w:fldChar w:fldCharType="separate"/>
      </w:r>
      <w:r w:rsidR="00482437" w:rsidRPr="00583760">
        <w:rPr>
          <w:rFonts w:eastAsiaTheme="minorEastAsia"/>
          <w:b/>
          <w:lang w:eastAsia="zh-TW"/>
        </w:rPr>
        <w:t xml:space="preserve">Observation </w:t>
      </w:r>
      <w:r w:rsidR="00482437">
        <w:rPr>
          <w:rFonts w:eastAsiaTheme="minorEastAsia"/>
          <w:b/>
          <w:noProof/>
          <w:lang w:eastAsia="zh-TW"/>
        </w:rPr>
        <w:t>13</w:t>
      </w:r>
      <w:r w:rsidR="00482437" w:rsidRPr="00583760">
        <w:rPr>
          <w:rFonts w:eastAsiaTheme="minorEastAsia"/>
          <w:b/>
          <w:lang w:eastAsia="zh-TW"/>
        </w:rPr>
        <w:t>:</w:t>
      </w:r>
      <w:r w:rsidR="00482437" w:rsidRPr="00583760">
        <w:rPr>
          <w:rFonts w:eastAsiaTheme="minorEastAsia"/>
          <w:lang w:eastAsia="zh-TW"/>
        </w:rPr>
        <w:t xml:space="preserve"> </w:t>
      </w:r>
      <w:r w:rsidR="00482437" w:rsidRPr="00FD5A17">
        <w:rPr>
          <w:rFonts w:eastAsiaTheme="minorEastAsia"/>
          <w:b/>
          <w:lang w:eastAsia="zh-TW"/>
        </w:rPr>
        <w:t xml:space="preserve">The BWP framework not only benefits UE bandwidth adaptation but also enables adaptation for network energy savings, potentially achieving joint BS/UE </w:t>
      </w:r>
      <w:r w:rsidR="00482437">
        <w:rPr>
          <w:rFonts w:eastAsiaTheme="minorEastAsia" w:hint="eastAsia"/>
          <w:b/>
          <w:lang w:eastAsia="zh-TW"/>
        </w:rPr>
        <w:t>energy efficiency</w:t>
      </w:r>
      <w:r w:rsidR="00482437" w:rsidRPr="00FD5A17">
        <w:rPr>
          <w:rFonts w:eastAsiaTheme="minorEastAsia"/>
          <w:b/>
          <w:lang w:eastAsia="zh-TW"/>
        </w:rPr>
        <w:t xml:space="preserve"> improvements. BWP switching for frequency</w:t>
      </w:r>
      <w:r w:rsidR="00482437">
        <w:rPr>
          <w:rFonts w:eastAsiaTheme="minorEastAsia" w:hint="eastAsia"/>
          <w:b/>
          <w:lang w:eastAsia="zh-TW"/>
        </w:rPr>
        <w:t xml:space="preserve"> </w:t>
      </w:r>
      <w:r w:rsidR="00482437" w:rsidRPr="00FD5A17">
        <w:rPr>
          <w:rFonts w:eastAsiaTheme="minorEastAsia"/>
          <w:b/>
          <w:lang w:eastAsia="zh-TW"/>
        </w:rPr>
        <w:t xml:space="preserve">domain adaptation, using a common indication, provides significant gains: BS </w:t>
      </w:r>
      <w:r w:rsidR="00482437">
        <w:rPr>
          <w:rFonts w:eastAsiaTheme="minorEastAsia" w:hint="eastAsia"/>
          <w:b/>
          <w:lang w:eastAsia="zh-TW"/>
        </w:rPr>
        <w:t>energy efficiency</w:t>
      </w:r>
      <w:r w:rsidR="00482437" w:rsidRPr="00FD5A17">
        <w:rPr>
          <w:rFonts w:eastAsiaTheme="minorEastAsia"/>
          <w:b/>
          <w:lang w:eastAsia="zh-TW"/>
        </w:rPr>
        <w:t xml:space="preserve"> improves by 2%</w:t>
      </w:r>
      <w:r w:rsidR="00482437">
        <w:rPr>
          <w:rFonts w:eastAsiaTheme="minorEastAsia" w:hint="eastAsia"/>
          <w:b/>
          <w:lang w:eastAsia="zh-TW"/>
        </w:rPr>
        <w:t>~</w:t>
      </w:r>
      <w:r w:rsidR="00482437" w:rsidRPr="00FD5A17">
        <w:rPr>
          <w:rFonts w:eastAsiaTheme="minorEastAsia"/>
          <w:b/>
          <w:lang w:eastAsia="zh-TW"/>
        </w:rPr>
        <w:t xml:space="preserve">49%, and UE </w:t>
      </w:r>
      <w:r w:rsidR="00482437">
        <w:rPr>
          <w:rFonts w:eastAsiaTheme="minorEastAsia" w:hint="eastAsia"/>
          <w:b/>
          <w:lang w:eastAsia="zh-TW"/>
        </w:rPr>
        <w:t>energy efficiency</w:t>
      </w:r>
      <w:r w:rsidR="00482437" w:rsidRPr="00FD5A17">
        <w:rPr>
          <w:rFonts w:eastAsiaTheme="minorEastAsia"/>
          <w:b/>
          <w:lang w:eastAsia="zh-TW"/>
        </w:rPr>
        <w:t xml:space="preserve"> improves by 20%</w:t>
      </w:r>
      <w:r w:rsidR="00482437">
        <w:rPr>
          <w:rFonts w:eastAsiaTheme="minorEastAsia" w:hint="eastAsia"/>
          <w:b/>
          <w:lang w:eastAsia="zh-TW"/>
        </w:rPr>
        <w:t>~</w:t>
      </w:r>
      <w:r w:rsidR="00482437" w:rsidRPr="00FD5A17">
        <w:rPr>
          <w:rFonts w:eastAsiaTheme="minorEastAsia"/>
          <w:b/>
          <w:lang w:eastAsia="zh-TW"/>
        </w:rPr>
        <w:t xml:space="preserve">58% </w:t>
      </w:r>
      <w:r w:rsidR="00482437">
        <w:rPr>
          <w:rFonts w:eastAsiaTheme="minorEastAsia" w:hint="eastAsia"/>
          <w:b/>
          <w:lang w:eastAsia="zh-TW"/>
        </w:rPr>
        <w:t>for</w:t>
      </w:r>
      <w:r w:rsidR="00482437" w:rsidRPr="00FD5A17">
        <w:rPr>
          <w:rFonts w:eastAsiaTheme="minorEastAsia"/>
          <w:b/>
          <w:lang w:eastAsia="zh-TW"/>
        </w:rPr>
        <w:t xml:space="preserve"> cell loads between 5% and 25%.</w:t>
      </w:r>
      <w:r>
        <w:fldChar w:fldCharType="end"/>
      </w:r>
    </w:p>
    <w:p w14:paraId="01D703FE" w14:textId="77777777" w:rsidR="006D6B53" w:rsidRDefault="006D6B53" w:rsidP="00867C59"/>
    <w:p w14:paraId="519D7B9E" w14:textId="07777688" w:rsidR="00487D4C" w:rsidRPr="006D6B53" w:rsidRDefault="006D6B53" w:rsidP="00867C59">
      <w:pPr>
        <w:rPr>
          <w:b/>
          <w:bCs/>
        </w:rPr>
      </w:pPr>
      <w:r w:rsidRPr="006D6B53">
        <w:rPr>
          <w:b/>
          <w:bCs/>
        </w:rPr>
        <w:fldChar w:fldCharType="begin"/>
      </w:r>
      <w:r w:rsidRPr="006D6B53">
        <w:rPr>
          <w:b/>
          <w:bCs/>
        </w:rPr>
        <w:instrText xml:space="preserve"> REF _Ref220682041 \h </w:instrText>
      </w:r>
      <w:r>
        <w:rPr>
          <w:b/>
          <w:bCs/>
        </w:rPr>
        <w:instrText xml:space="preserve"> \* MERGEFORMAT </w:instrText>
      </w:r>
      <w:r w:rsidRPr="006D6B53">
        <w:rPr>
          <w:b/>
          <w:bCs/>
        </w:rPr>
      </w:r>
      <w:r w:rsidRPr="006D6B53">
        <w:rPr>
          <w:b/>
          <w:bCs/>
        </w:rPr>
        <w:fldChar w:fldCharType="separate"/>
      </w:r>
      <w:r w:rsidR="00482437" w:rsidRPr="00482437">
        <w:rPr>
          <w:b/>
          <w:bCs/>
        </w:rPr>
        <w:t xml:space="preserve">Proposal </w:t>
      </w:r>
      <w:r w:rsidR="00482437" w:rsidRPr="00482437">
        <w:rPr>
          <w:b/>
          <w:bCs/>
          <w:noProof/>
        </w:rPr>
        <w:t>1</w:t>
      </w:r>
      <w:r w:rsidR="00482437" w:rsidRPr="00482437">
        <w:rPr>
          <w:rFonts w:eastAsia="新細明體"/>
          <w:b/>
          <w:bCs/>
          <w:lang w:eastAsia="zh-TW"/>
        </w:rPr>
        <w:t>: Support bandwidth operation for at least the following use cases in 6GR:</w:t>
      </w:r>
      <w:r w:rsidRPr="006D6B53">
        <w:rPr>
          <w:b/>
          <w:bCs/>
        </w:rPr>
        <w:fldChar w:fldCharType="end"/>
      </w:r>
    </w:p>
    <w:p w14:paraId="41EA0138" w14:textId="77777777" w:rsidR="006D6B53" w:rsidRPr="006D6B53" w:rsidRDefault="006D6B53" w:rsidP="006D6B53">
      <w:pPr>
        <w:numPr>
          <w:ilvl w:val="0"/>
          <w:numId w:val="38"/>
        </w:numPr>
        <w:rPr>
          <w:b/>
          <w:bCs/>
        </w:rPr>
      </w:pPr>
      <w:r w:rsidRPr="006D6B53">
        <w:rPr>
          <w:b/>
          <w:bCs/>
        </w:rPr>
        <w:t xml:space="preserve">Energy saving at both UE and NW sides </w:t>
      </w:r>
    </w:p>
    <w:p w14:paraId="493D9ABC" w14:textId="77777777" w:rsidR="006D6B53" w:rsidRPr="006D6B53" w:rsidRDefault="006D6B53" w:rsidP="006D6B53">
      <w:pPr>
        <w:numPr>
          <w:ilvl w:val="0"/>
          <w:numId w:val="38"/>
        </w:numPr>
        <w:rPr>
          <w:b/>
          <w:bCs/>
        </w:rPr>
      </w:pPr>
      <w:r w:rsidRPr="006D6B53">
        <w:rPr>
          <w:b/>
          <w:bCs/>
        </w:rPr>
        <w:t>Efficient coexistence of wideband UEs and narrowband UEs within a wideband carrier</w:t>
      </w:r>
    </w:p>
    <w:p w14:paraId="68A9C0C2" w14:textId="30B9A661" w:rsidR="006D6B53" w:rsidRPr="0067641F" w:rsidRDefault="0067641F" w:rsidP="00867C59">
      <w:pPr>
        <w:rPr>
          <w:b/>
          <w:bCs/>
        </w:rPr>
      </w:pPr>
      <w:r w:rsidRPr="0067641F">
        <w:rPr>
          <w:b/>
          <w:bCs/>
        </w:rPr>
        <w:fldChar w:fldCharType="begin"/>
      </w:r>
      <w:r w:rsidRPr="0067641F">
        <w:rPr>
          <w:b/>
          <w:bCs/>
        </w:rPr>
        <w:instrText xml:space="preserve"> REF _Ref220682089 \h </w:instrText>
      </w:r>
      <w:r>
        <w:rPr>
          <w:b/>
          <w:bCs/>
        </w:rPr>
        <w:instrText xml:space="preserve"> \* MERGEFORMAT </w:instrText>
      </w:r>
      <w:r w:rsidRPr="0067641F">
        <w:rPr>
          <w:b/>
          <w:bCs/>
        </w:rPr>
      </w:r>
      <w:r w:rsidRPr="0067641F">
        <w:rPr>
          <w:b/>
          <w:bCs/>
        </w:rPr>
        <w:fldChar w:fldCharType="separate"/>
      </w:r>
      <w:r w:rsidR="00482437" w:rsidRPr="00482437">
        <w:rPr>
          <w:b/>
          <w:bCs/>
        </w:rPr>
        <w:t xml:space="preserve">Proposal </w:t>
      </w:r>
      <w:r w:rsidR="00482437" w:rsidRPr="00482437">
        <w:rPr>
          <w:b/>
          <w:bCs/>
          <w:noProof/>
        </w:rPr>
        <w:t>2</w:t>
      </w:r>
      <w:r w:rsidR="00482437" w:rsidRPr="00482437">
        <w:rPr>
          <w:rFonts w:eastAsia="新細明體"/>
          <w:b/>
          <w:bCs/>
          <w:lang w:eastAsia="zh-TW"/>
        </w:rPr>
        <w:t>: If SBFD is supported in 6GR, study whether and how bandwidth operation enables SBFD.</w:t>
      </w:r>
      <w:r w:rsidRPr="0067641F">
        <w:rPr>
          <w:b/>
          <w:bCs/>
        </w:rPr>
        <w:fldChar w:fldCharType="end"/>
      </w:r>
    </w:p>
    <w:p w14:paraId="09FCCC4C" w14:textId="0B082E82" w:rsidR="0067641F" w:rsidRDefault="0067641F" w:rsidP="00867C59">
      <w:r>
        <w:fldChar w:fldCharType="begin"/>
      </w:r>
      <w:r>
        <w:instrText xml:space="preserve"> REF _Ref220682101 \h  \* MERGEFORMAT </w:instrText>
      </w:r>
      <w:r>
        <w:fldChar w:fldCharType="separate"/>
      </w:r>
      <w:r w:rsidR="00482437" w:rsidRPr="00482437">
        <w:rPr>
          <w:b/>
          <w:bCs/>
        </w:rPr>
        <w:t xml:space="preserve">Proposal </w:t>
      </w:r>
      <w:r w:rsidR="00482437" w:rsidRPr="00482437">
        <w:rPr>
          <w:b/>
          <w:bCs/>
          <w:noProof/>
        </w:rPr>
        <w:t>3</w:t>
      </w:r>
      <w:r w:rsidR="00482437" w:rsidRPr="00482437">
        <w:rPr>
          <w:b/>
          <w:bCs/>
        </w:rPr>
        <w:t>:</w:t>
      </w:r>
      <w:r w:rsidR="00482437" w:rsidRPr="00482437">
        <w:rPr>
          <w:rFonts w:eastAsia="新細明體"/>
          <w:b/>
          <w:bCs/>
          <w:lang w:val="en-GB" w:eastAsia="zh-TW"/>
        </w:rPr>
        <w:t xml:space="preserve"> Study the related specification impacts for the following design targets of bandwidth operation in </w:t>
      </w:r>
      <w:r w:rsidR="00482437">
        <w:rPr>
          <w:rFonts w:eastAsia="新細明體"/>
          <w:b/>
          <w:lang w:val="en-GB" w:eastAsia="zh-TW"/>
        </w:rPr>
        <w:t>6GR.</w:t>
      </w:r>
      <w:r>
        <w:fldChar w:fldCharType="end"/>
      </w:r>
    </w:p>
    <w:p w14:paraId="408D140F" w14:textId="77777777" w:rsidR="00414787" w:rsidRPr="00414787" w:rsidRDefault="00414787" w:rsidP="00414787">
      <w:pPr>
        <w:numPr>
          <w:ilvl w:val="0"/>
          <w:numId w:val="39"/>
        </w:numPr>
        <w:rPr>
          <w:b/>
          <w:bCs/>
          <w:lang w:val="en-GB"/>
        </w:rPr>
      </w:pPr>
      <w:r w:rsidRPr="00414787">
        <w:rPr>
          <w:b/>
          <w:bCs/>
        </w:rPr>
        <w:t>Adaptation of bandwidth size, PDCCH monitoring periodicity, max number of MIMO layers, max modulation order, and CSI acquisition with shorter delay/interruption</w:t>
      </w:r>
    </w:p>
    <w:p w14:paraId="7F475BF0" w14:textId="77777777" w:rsidR="00414787" w:rsidRPr="00414787" w:rsidRDefault="00414787" w:rsidP="00414787">
      <w:pPr>
        <w:numPr>
          <w:ilvl w:val="0"/>
          <w:numId w:val="39"/>
        </w:numPr>
        <w:rPr>
          <w:b/>
          <w:bCs/>
          <w:lang w:val="en-GB"/>
        </w:rPr>
      </w:pPr>
      <w:r w:rsidRPr="00414787">
        <w:rPr>
          <w:b/>
          <w:bCs/>
        </w:rPr>
        <w:t>Network load balancing via center frequency change for narrowband UEs within a wideband carrier</w:t>
      </w:r>
    </w:p>
    <w:p w14:paraId="6F9EF3E1" w14:textId="77777777" w:rsidR="00414787" w:rsidRPr="00414787" w:rsidRDefault="00414787" w:rsidP="00414787">
      <w:pPr>
        <w:numPr>
          <w:ilvl w:val="0"/>
          <w:numId w:val="39"/>
        </w:numPr>
        <w:rPr>
          <w:b/>
          <w:bCs/>
          <w:lang w:val="en-GB"/>
        </w:rPr>
      </w:pPr>
      <w:r w:rsidRPr="00414787">
        <w:rPr>
          <w:b/>
          <w:bCs/>
          <w:lang w:val="en-GB"/>
        </w:rPr>
        <w:t>Unified bandwidth operation for all device types during initial access</w:t>
      </w:r>
    </w:p>
    <w:p w14:paraId="3FFEFBF2" w14:textId="77777777" w:rsidR="00414787" w:rsidRPr="00414787" w:rsidRDefault="00414787" w:rsidP="00414787">
      <w:pPr>
        <w:numPr>
          <w:ilvl w:val="0"/>
          <w:numId w:val="39"/>
        </w:numPr>
        <w:rPr>
          <w:b/>
          <w:bCs/>
          <w:lang w:val="en-GB"/>
        </w:rPr>
      </w:pPr>
      <w:r w:rsidRPr="00414787">
        <w:rPr>
          <w:b/>
          <w:bCs/>
        </w:rPr>
        <w:t>Lean BB/RF RRC configuration update during bandwidth adaptation</w:t>
      </w:r>
    </w:p>
    <w:p w14:paraId="34143A79" w14:textId="77777777" w:rsidR="00414787" w:rsidRPr="00414787" w:rsidRDefault="00414787" w:rsidP="00414787">
      <w:pPr>
        <w:numPr>
          <w:ilvl w:val="0"/>
          <w:numId w:val="39"/>
        </w:numPr>
        <w:rPr>
          <w:b/>
          <w:bCs/>
          <w:lang w:val="en-GB"/>
        </w:rPr>
      </w:pPr>
      <w:r w:rsidRPr="00414787">
        <w:rPr>
          <w:b/>
          <w:bCs/>
        </w:rPr>
        <w:t>Robust bandwidth operation, including robust signaling for bandwidth switch and fast recovery when bandwidth switch fails</w:t>
      </w:r>
    </w:p>
    <w:p w14:paraId="0713F958" w14:textId="77777777" w:rsidR="00414787" w:rsidRPr="00414787" w:rsidRDefault="00414787" w:rsidP="00414787">
      <w:pPr>
        <w:numPr>
          <w:ilvl w:val="0"/>
          <w:numId w:val="39"/>
        </w:numPr>
        <w:rPr>
          <w:b/>
          <w:bCs/>
          <w:lang w:val="en-GB"/>
        </w:rPr>
      </w:pPr>
      <w:r w:rsidRPr="00414787">
        <w:rPr>
          <w:b/>
          <w:bCs/>
        </w:rPr>
        <w:t>Efficient bandwidth operation, considering CA, multi-carrier cell, UL/DL decoupling, UL/DL carrier switch, MIMO and SBFD</w:t>
      </w:r>
    </w:p>
    <w:p w14:paraId="6B93079C" w14:textId="56693A09" w:rsidR="00414787" w:rsidRDefault="00A92C70" w:rsidP="00867C59">
      <w:pPr>
        <w:rPr>
          <w:b/>
          <w:bCs/>
          <w:lang w:val="en-GB"/>
        </w:rPr>
      </w:pPr>
      <w:r w:rsidRPr="00A92C70">
        <w:rPr>
          <w:b/>
          <w:bCs/>
          <w:lang w:val="en-GB"/>
        </w:rPr>
        <w:fldChar w:fldCharType="begin"/>
      </w:r>
      <w:r w:rsidRPr="00A92C70">
        <w:rPr>
          <w:b/>
          <w:bCs/>
          <w:lang w:val="en-GB"/>
        </w:rPr>
        <w:instrText xml:space="preserve"> REF _Ref220682129 \h </w:instrText>
      </w:r>
      <w:r>
        <w:rPr>
          <w:b/>
          <w:bCs/>
          <w:lang w:val="en-GB"/>
        </w:rPr>
        <w:instrText xml:space="preserve"> \* MERGEFORMAT </w:instrText>
      </w:r>
      <w:r w:rsidRPr="00A92C70">
        <w:rPr>
          <w:b/>
          <w:bCs/>
          <w:lang w:val="en-GB"/>
        </w:rPr>
      </w:r>
      <w:r w:rsidRPr="00A92C70">
        <w:rPr>
          <w:b/>
          <w:bCs/>
          <w:lang w:val="en-GB"/>
        </w:rPr>
        <w:fldChar w:fldCharType="separate"/>
      </w:r>
      <w:r w:rsidR="00482437" w:rsidRPr="00482437">
        <w:rPr>
          <w:b/>
          <w:bCs/>
        </w:rPr>
        <w:t xml:space="preserve">Proposal </w:t>
      </w:r>
      <w:r w:rsidR="00482437" w:rsidRPr="00482437">
        <w:rPr>
          <w:b/>
          <w:bCs/>
          <w:noProof/>
        </w:rPr>
        <w:t>4</w:t>
      </w:r>
      <w:r w:rsidR="00482437" w:rsidRPr="00482437">
        <w:rPr>
          <w:rFonts w:eastAsia="新細明體"/>
          <w:b/>
          <w:bCs/>
          <w:lang w:eastAsia="zh-TW"/>
        </w:rPr>
        <w:t>: 6GR strives for the same initial access procedure and identical initial operating bandwidth for all devices, eliminating fragmentation at the system entry point.</w:t>
      </w:r>
      <w:r w:rsidRPr="00A92C70">
        <w:rPr>
          <w:b/>
          <w:bCs/>
          <w:lang w:val="en-GB"/>
        </w:rPr>
        <w:fldChar w:fldCharType="end"/>
      </w:r>
    </w:p>
    <w:p w14:paraId="6B04C006" w14:textId="7C2E254C" w:rsidR="00A83C64" w:rsidRPr="00A83C64" w:rsidRDefault="00A83C64" w:rsidP="00867C59">
      <w:pPr>
        <w:rPr>
          <w:b/>
          <w:bCs/>
          <w:lang w:val="en-GB"/>
        </w:rPr>
      </w:pPr>
      <w:r w:rsidRPr="00A83C64">
        <w:rPr>
          <w:b/>
          <w:bCs/>
          <w:lang w:val="en-GB"/>
        </w:rPr>
        <w:fldChar w:fldCharType="begin"/>
      </w:r>
      <w:r w:rsidRPr="00A83C64">
        <w:rPr>
          <w:b/>
          <w:bCs/>
          <w:lang w:val="en-GB"/>
        </w:rPr>
        <w:instrText xml:space="preserve"> REF _Ref220682228 \h  \* MERGEFORMAT </w:instrText>
      </w:r>
      <w:r w:rsidRPr="00A83C64">
        <w:rPr>
          <w:b/>
          <w:bCs/>
          <w:lang w:val="en-GB"/>
        </w:rPr>
      </w:r>
      <w:r w:rsidRPr="00A83C64">
        <w:rPr>
          <w:b/>
          <w:bCs/>
          <w:lang w:val="en-GB"/>
        </w:rPr>
        <w:fldChar w:fldCharType="separate"/>
      </w:r>
      <w:r w:rsidR="00482437" w:rsidRPr="00482437">
        <w:rPr>
          <w:b/>
          <w:bCs/>
        </w:rPr>
        <w:t xml:space="preserve">Proposal </w:t>
      </w:r>
      <w:r w:rsidR="00482437" w:rsidRPr="00482437">
        <w:rPr>
          <w:b/>
          <w:bCs/>
          <w:noProof/>
        </w:rPr>
        <w:t>5</w:t>
      </w:r>
      <w:r w:rsidR="00482437" w:rsidRPr="00C324E6">
        <w:rPr>
          <w:rFonts w:eastAsia="新細明體"/>
          <w:b/>
          <w:bCs/>
          <w:lang w:eastAsia="zh-TW"/>
        </w:rPr>
        <w:t xml:space="preserve">: </w:t>
      </w:r>
      <w:r w:rsidR="00482437" w:rsidRPr="00503EBB">
        <w:rPr>
          <w:rFonts w:eastAsia="新細明體"/>
          <w:b/>
          <w:bCs/>
          <w:lang w:eastAsia="zh-TW"/>
        </w:rPr>
        <w:t>Study how to support initial DL</w:t>
      </w:r>
      <w:r w:rsidR="00482437">
        <w:rPr>
          <w:rFonts w:eastAsia="新細明體"/>
          <w:b/>
          <w:bCs/>
          <w:lang w:eastAsia="zh-TW"/>
        </w:rPr>
        <w:t>/UL</w:t>
      </w:r>
      <w:r w:rsidR="00482437" w:rsidRPr="00503EBB">
        <w:rPr>
          <w:rFonts w:eastAsia="新細明體"/>
          <w:b/>
          <w:bCs/>
          <w:lang w:eastAsia="zh-TW"/>
        </w:rPr>
        <w:t xml:space="preserve"> BWP</w:t>
      </w:r>
      <w:r w:rsidR="00482437">
        <w:rPr>
          <w:rFonts w:eastAsia="新細明體"/>
          <w:b/>
          <w:bCs/>
          <w:lang w:eastAsia="zh-TW"/>
        </w:rPr>
        <w:t>s</w:t>
      </w:r>
      <w:r w:rsidR="00482437" w:rsidRPr="00503EBB">
        <w:rPr>
          <w:rFonts w:eastAsia="新細明體"/>
          <w:b/>
          <w:bCs/>
          <w:lang w:eastAsia="zh-TW"/>
        </w:rPr>
        <w:t xml:space="preserve"> at least for initial access and idle mode, considering the following aspects</w:t>
      </w:r>
      <w:r w:rsidR="00482437" w:rsidRPr="00482437">
        <w:rPr>
          <w:rFonts w:eastAsia="新細明體"/>
          <w:b/>
          <w:bCs/>
          <w:lang w:eastAsia="zh-TW"/>
        </w:rPr>
        <w:t>:</w:t>
      </w:r>
      <w:r w:rsidRPr="00A83C64">
        <w:rPr>
          <w:b/>
          <w:bCs/>
          <w:lang w:val="en-GB"/>
        </w:rPr>
        <w:fldChar w:fldCharType="end"/>
      </w:r>
    </w:p>
    <w:p w14:paraId="4CA4FD00" w14:textId="77777777" w:rsidR="00A92C70" w:rsidRPr="00A92C70" w:rsidRDefault="00A92C70" w:rsidP="00A92C70">
      <w:pPr>
        <w:numPr>
          <w:ilvl w:val="0"/>
          <w:numId w:val="40"/>
        </w:numPr>
        <w:rPr>
          <w:b/>
          <w:bCs/>
        </w:rPr>
      </w:pPr>
      <w:r w:rsidRPr="00A92C70">
        <w:rPr>
          <w:b/>
          <w:bCs/>
        </w:rPr>
        <w:t>Coexistence of eMBB and IoT devices:</w:t>
      </w:r>
    </w:p>
    <w:p w14:paraId="160587EB" w14:textId="77777777" w:rsidR="00A92C70" w:rsidRPr="00A92C70" w:rsidRDefault="00A92C70" w:rsidP="00A92C70">
      <w:pPr>
        <w:numPr>
          <w:ilvl w:val="0"/>
          <w:numId w:val="40"/>
        </w:numPr>
        <w:rPr>
          <w:b/>
          <w:bCs/>
        </w:rPr>
      </w:pPr>
      <w:r w:rsidRPr="00A92C70">
        <w:rPr>
          <w:b/>
          <w:bCs/>
        </w:rPr>
        <w:t>Initial DL BWP definition/configuration:</w:t>
      </w:r>
    </w:p>
    <w:p w14:paraId="4CD3C959" w14:textId="77777777" w:rsidR="00A92C70" w:rsidRPr="00A92C70" w:rsidRDefault="00A92C70" w:rsidP="00A92C70">
      <w:pPr>
        <w:numPr>
          <w:ilvl w:val="0"/>
          <w:numId w:val="40"/>
        </w:numPr>
        <w:rPr>
          <w:b/>
          <w:bCs/>
        </w:rPr>
      </w:pPr>
      <w:r w:rsidRPr="00A92C70">
        <w:rPr>
          <w:b/>
          <w:bCs/>
        </w:rPr>
        <w:t>Initial UL BWP Configuration:</w:t>
      </w:r>
    </w:p>
    <w:p w14:paraId="77620ACB" w14:textId="77777777" w:rsidR="00A92C70" w:rsidRPr="00A92C70" w:rsidRDefault="00A92C70" w:rsidP="00A92C70">
      <w:pPr>
        <w:numPr>
          <w:ilvl w:val="0"/>
          <w:numId w:val="40"/>
        </w:numPr>
        <w:rPr>
          <w:b/>
          <w:bCs/>
        </w:rPr>
      </w:pPr>
      <w:r w:rsidRPr="00A92C70">
        <w:rPr>
          <w:b/>
          <w:bCs/>
        </w:rPr>
        <w:t>Configuration Constraints:</w:t>
      </w:r>
    </w:p>
    <w:p w14:paraId="4F350FB1" w14:textId="77777777" w:rsidR="00A92C70" w:rsidRPr="00A92C70" w:rsidRDefault="00A92C70" w:rsidP="00A92C70">
      <w:pPr>
        <w:numPr>
          <w:ilvl w:val="0"/>
          <w:numId w:val="40"/>
        </w:numPr>
        <w:rPr>
          <w:b/>
          <w:bCs/>
        </w:rPr>
      </w:pPr>
      <w:r w:rsidRPr="00A92C70">
        <w:rPr>
          <w:b/>
          <w:bCs/>
        </w:rPr>
        <w:t>Support for New Scenarios:</w:t>
      </w:r>
    </w:p>
    <w:p w14:paraId="41A7DB88" w14:textId="77777777" w:rsidR="00A92C70" w:rsidRPr="00A92C70" w:rsidRDefault="00A92C70" w:rsidP="00A92C70">
      <w:pPr>
        <w:numPr>
          <w:ilvl w:val="1"/>
          <w:numId w:val="40"/>
        </w:numPr>
        <w:rPr>
          <w:b/>
          <w:bCs/>
        </w:rPr>
      </w:pPr>
      <w:r w:rsidRPr="00A92C70">
        <w:rPr>
          <w:b/>
          <w:bCs/>
        </w:rPr>
        <w:t>OD-SIB1 requests in standalone cells.</w:t>
      </w:r>
    </w:p>
    <w:p w14:paraId="5F9DCF44" w14:textId="77777777" w:rsidR="00A92C70" w:rsidRPr="00A92C70" w:rsidRDefault="00A92C70" w:rsidP="00A92C70">
      <w:pPr>
        <w:numPr>
          <w:ilvl w:val="1"/>
          <w:numId w:val="40"/>
        </w:numPr>
        <w:rPr>
          <w:b/>
          <w:bCs/>
        </w:rPr>
      </w:pPr>
      <w:r w:rsidRPr="00A92C70">
        <w:rPr>
          <w:b/>
          <w:bCs/>
        </w:rPr>
        <w:t xml:space="preserve">DL/UL Decoupling </w:t>
      </w:r>
    </w:p>
    <w:p w14:paraId="44253BE5" w14:textId="77777777" w:rsidR="00A92C70" w:rsidRPr="00A92C70" w:rsidRDefault="00A92C70" w:rsidP="00A92C70">
      <w:pPr>
        <w:numPr>
          <w:ilvl w:val="1"/>
          <w:numId w:val="40"/>
        </w:numPr>
        <w:rPr>
          <w:b/>
          <w:bCs/>
        </w:rPr>
      </w:pPr>
      <w:r w:rsidRPr="00A92C70">
        <w:rPr>
          <w:b/>
          <w:bCs/>
        </w:rPr>
        <w:lastRenderedPageBreak/>
        <w:t>Multi-carrier cell operations.</w:t>
      </w:r>
    </w:p>
    <w:p w14:paraId="1CF9605A" w14:textId="4849F062" w:rsidR="00A92C70" w:rsidRPr="008F4CF2" w:rsidRDefault="008F4CF2" w:rsidP="00867C59">
      <w:pPr>
        <w:rPr>
          <w:b/>
          <w:bCs/>
          <w:lang w:val="en-GB"/>
        </w:rPr>
      </w:pPr>
      <w:r w:rsidRPr="008F4CF2">
        <w:rPr>
          <w:b/>
          <w:bCs/>
          <w:lang w:val="en-GB"/>
        </w:rPr>
        <w:fldChar w:fldCharType="begin"/>
      </w:r>
      <w:r w:rsidRPr="008F4CF2">
        <w:rPr>
          <w:b/>
          <w:bCs/>
          <w:lang w:val="en-GB"/>
        </w:rPr>
        <w:instrText xml:space="preserve"> REF _Ref220682245 \h  \* MERGEFORMAT </w:instrText>
      </w:r>
      <w:r w:rsidRPr="008F4CF2">
        <w:rPr>
          <w:b/>
          <w:bCs/>
          <w:lang w:val="en-GB"/>
        </w:rPr>
      </w:r>
      <w:r w:rsidRPr="008F4CF2">
        <w:rPr>
          <w:b/>
          <w:bCs/>
          <w:lang w:val="en-GB"/>
        </w:rPr>
        <w:fldChar w:fldCharType="separate"/>
      </w:r>
      <w:r w:rsidR="00482437" w:rsidRPr="00482437">
        <w:rPr>
          <w:b/>
          <w:bCs/>
        </w:rPr>
        <w:t xml:space="preserve">Proposal </w:t>
      </w:r>
      <w:r w:rsidR="00482437" w:rsidRPr="00482437">
        <w:rPr>
          <w:b/>
          <w:bCs/>
          <w:noProof/>
        </w:rPr>
        <w:t>6</w:t>
      </w:r>
      <w:r w:rsidR="00482437" w:rsidRPr="00482437">
        <w:rPr>
          <w:rFonts w:eastAsiaTheme="minorEastAsia"/>
          <w:b/>
          <w:bCs/>
          <w:lang w:eastAsia="zh-TW"/>
        </w:rPr>
        <w:t>: Support a lean BWP configuration for 6G to efficiently address the identified use cases for BWP.</w:t>
      </w:r>
      <w:r w:rsidRPr="008F4CF2">
        <w:rPr>
          <w:b/>
          <w:bCs/>
          <w:lang w:val="en-GB"/>
        </w:rPr>
        <w:fldChar w:fldCharType="end"/>
      </w:r>
    </w:p>
    <w:p w14:paraId="7D2BCF02" w14:textId="5FFCE619" w:rsidR="008F4CF2" w:rsidRDefault="008F4CF2" w:rsidP="00867C59">
      <w:pPr>
        <w:rPr>
          <w:b/>
          <w:bCs/>
          <w:lang w:val="en-GB"/>
        </w:rPr>
      </w:pPr>
      <w:r>
        <w:rPr>
          <w:b/>
          <w:bCs/>
          <w:lang w:val="en-GB"/>
        </w:rPr>
        <w:fldChar w:fldCharType="begin"/>
      </w:r>
      <w:r>
        <w:rPr>
          <w:b/>
          <w:bCs/>
          <w:lang w:val="en-GB"/>
        </w:rPr>
        <w:instrText xml:space="preserve"> REF _Ref220682266 \h </w:instrText>
      </w:r>
      <w:r>
        <w:rPr>
          <w:b/>
          <w:bCs/>
          <w:lang w:val="en-GB"/>
        </w:rPr>
      </w:r>
      <w:r>
        <w:rPr>
          <w:b/>
          <w:bCs/>
          <w:lang w:val="en-GB"/>
        </w:rPr>
        <w:fldChar w:fldCharType="separate"/>
      </w:r>
      <w:r w:rsidR="00482437" w:rsidRPr="00104C7C">
        <w:rPr>
          <w:rFonts w:eastAsiaTheme="minorEastAsia"/>
          <w:b/>
          <w:lang w:eastAsia="zh-TW"/>
        </w:rPr>
        <w:t xml:space="preserve">Proposal </w:t>
      </w:r>
      <w:r w:rsidR="00482437">
        <w:rPr>
          <w:rFonts w:eastAsiaTheme="minorEastAsia"/>
          <w:b/>
          <w:noProof/>
          <w:lang w:eastAsia="zh-TW"/>
        </w:rPr>
        <w:t>7</w:t>
      </w:r>
      <w:r w:rsidR="00482437" w:rsidRPr="00104C7C">
        <w:rPr>
          <w:rFonts w:eastAsiaTheme="minorEastAsia"/>
          <w:b/>
          <w:lang w:eastAsia="zh-TW"/>
        </w:rPr>
        <w:t>: All BWPs configured for a cell for a same direction, DL or UL, share the same numerology</w:t>
      </w:r>
      <w:r w:rsidR="00482437">
        <w:rPr>
          <w:rFonts w:eastAsiaTheme="minorEastAsia"/>
          <w:b/>
          <w:lang w:eastAsia="zh-TW"/>
        </w:rPr>
        <w:t>.</w:t>
      </w:r>
      <w:r>
        <w:rPr>
          <w:b/>
          <w:bCs/>
          <w:lang w:val="en-GB"/>
        </w:rPr>
        <w:fldChar w:fldCharType="end"/>
      </w:r>
    </w:p>
    <w:p w14:paraId="0D528136" w14:textId="4BCD21D5" w:rsidR="008F4CF2" w:rsidRDefault="0086262E" w:rsidP="00867C59">
      <w:pPr>
        <w:rPr>
          <w:b/>
          <w:bCs/>
          <w:lang w:val="en-GB"/>
        </w:rPr>
      </w:pPr>
      <w:r>
        <w:rPr>
          <w:b/>
          <w:bCs/>
          <w:lang w:val="en-GB"/>
        </w:rPr>
        <w:fldChar w:fldCharType="begin"/>
      </w:r>
      <w:r>
        <w:rPr>
          <w:b/>
          <w:bCs/>
          <w:lang w:val="en-GB"/>
        </w:rPr>
        <w:instrText xml:space="preserve"> REF _Ref220682275 \h </w:instrText>
      </w:r>
      <w:r>
        <w:rPr>
          <w:b/>
          <w:bCs/>
          <w:lang w:val="en-GB"/>
        </w:rPr>
      </w:r>
      <w:r>
        <w:rPr>
          <w:b/>
          <w:bCs/>
          <w:lang w:val="en-GB"/>
        </w:rPr>
        <w:fldChar w:fldCharType="separate"/>
      </w:r>
      <w:r w:rsidR="00482437" w:rsidRPr="00104C7C">
        <w:rPr>
          <w:rFonts w:eastAsiaTheme="minorEastAsia"/>
          <w:b/>
          <w:lang w:eastAsia="zh-TW"/>
        </w:rPr>
        <w:t xml:space="preserve">Proposal </w:t>
      </w:r>
      <w:r w:rsidR="00482437">
        <w:rPr>
          <w:rFonts w:eastAsiaTheme="minorEastAsia"/>
          <w:b/>
          <w:noProof/>
          <w:lang w:eastAsia="zh-TW"/>
        </w:rPr>
        <w:t>8</w:t>
      </w:r>
      <w:r w:rsidR="00482437" w:rsidRPr="00104C7C">
        <w:rPr>
          <w:rFonts w:eastAsiaTheme="minorEastAsia"/>
          <w:b/>
          <w:lang w:eastAsia="zh-TW"/>
        </w:rPr>
        <w:t>: Support at least contiguous resource allocation</w:t>
      </w:r>
      <w:r w:rsidR="00482437" w:rsidRPr="00104C7C">
        <w:rPr>
          <w:rFonts w:eastAsiaTheme="minorEastAsia"/>
          <w:lang w:eastAsia="zh-TW"/>
        </w:rPr>
        <w:t xml:space="preserve"> </w:t>
      </w:r>
      <w:r w:rsidR="00482437" w:rsidRPr="00104C7C">
        <w:rPr>
          <w:rFonts w:eastAsiaTheme="minorEastAsia"/>
          <w:b/>
          <w:lang w:eastAsia="zh-TW"/>
        </w:rPr>
        <w:t>for a BWP</w:t>
      </w:r>
      <w:r w:rsidR="00482437" w:rsidRPr="00104C7C">
        <w:rPr>
          <w:rFonts w:eastAsiaTheme="minorEastAsia"/>
          <w:b/>
          <w:bCs/>
          <w:lang w:eastAsia="zh-TW"/>
        </w:rPr>
        <w:t xml:space="preserve"> within a carrier.</w:t>
      </w:r>
      <w:r>
        <w:rPr>
          <w:b/>
          <w:bCs/>
          <w:lang w:val="en-GB"/>
        </w:rPr>
        <w:fldChar w:fldCharType="end"/>
      </w:r>
    </w:p>
    <w:p w14:paraId="67E83DDA" w14:textId="77777777" w:rsidR="00F70A44" w:rsidRPr="00F70A44" w:rsidRDefault="00F70A44" w:rsidP="00F70A44">
      <w:pPr>
        <w:numPr>
          <w:ilvl w:val="0"/>
          <w:numId w:val="41"/>
        </w:numPr>
        <w:rPr>
          <w:b/>
          <w:bCs/>
        </w:rPr>
      </w:pPr>
      <w:r w:rsidRPr="00F70A44">
        <w:rPr>
          <w:b/>
          <w:bCs/>
        </w:rPr>
        <w:t>FFS: non-contiguous resource allocation for future use cases</w:t>
      </w:r>
    </w:p>
    <w:p w14:paraId="0B6F2E26" w14:textId="750030AE" w:rsidR="0086262E" w:rsidRDefault="007A3895" w:rsidP="00867C59">
      <w:pPr>
        <w:rPr>
          <w:b/>
          <w:bCs/>
        </w:rPr>
      </w:pPr>
      <w:r>
        <w:rPr>
          <w:b/>
          <w:bCs/>
        </w:rPr>
        <w:fldChar w:fldCharType="begin"/>
      </w:r>
      <w:r>
        <w:rPr>
          <w:b/>
          <w:bCs/>
        </w:rPr>
        <w:instrText xml:space="preserve"> REF _Ref220682308 \h </w:instrText>
      </w:r>
      <w:r>
        <w:rPr>
          <w:b/>
          <w:bCs/>
        </w:rPr>
      </w:r>
      <w:r>
        <w:rPr>
          <w:b/>
          <w:bCs/>
        </w:rPr>
        <w:fldChar w:fldCharType="separate"/>
      </w:r>
      <w:r w:rsidR="00482437" w:rsidRPr="00104C7C">
        <w:rPr>
          <w:rFonts w:eastAsiaTheme="minorEastAsia"/>
          <w:b/>
          <w:lang w:eastAsia="zh-TW"/>
        </w:rPr>
        <w:t xml:space="preserve">Proposal </w:t>
      </w:r>
      <w:r w:rsidR="00482437">
        <w:rPr>
          <w:rFonts w:eastAsiaTheme="minorEastAsia"/>
          <w:b/>
          <w:noProof/>
          <w:lang w:eastAsia="zh-TW"/>
        </w:rPr>
        <w:t>9</w:t>
      </w:r>
      <w:r w:rsidR="00482437" w:rsidRPr="00104C7C">
        <w:rPr>
          <w:rFonts w:eastAsiaTheme="minorEastAsia"/>
          <w:b/>
          <w:lang w:eastAsia="zh-TW"/>
        </w:rPr>
        <w:t>: Support the following two BWP types for 6GR</w:t>
      </w:r>
      <w:r>
        <w:rPr>
          <w:b/>
          <w:bCs/>
        </w:rPr>
        <w:fldChar w:fldCharType="end"/>
      </w:r>
    </w:p>
    <w:p w14:paraId="6B65BC7B" w14:textId="77777777" w:rsidR="007A3895" w:rsidRPr="007A3895" w:rsidRDefault="007A3895" w:rsidP="007A3895">
      <w:pPr>
        <w:numPr>
          <w:ilvl w:val="0"/>
          <w:numId w:val="42"/>
        </w:numPr>
        <w:rPr>
          <w:b/>
          <w:bCs/>
        </w:rPr>
      </w:pPr>
      <w:r w:rsidRPr="007A3895">
        <w:rPr>
          <w:b/>
          <w:bCs/>
        </w:rPr>
        <w:t>Initial BWPs for initial access</w:t>
      </w:r>
    </w:p>
    <w:p w14:paraId="38FCA4EF" w14:textId="77777777" w:rsidR="007A3895" w:rsidRPr="007A3895" w:rsidRDefault="007A3895" w:rsidP="007A3895">
      <w:pPr>
        <w:numPr>
          <w:ilvl w:val="0"/>
          <w:numId w:val="42"/>
        </w:numPr>
        <w:rPr>
          <w:b/>
          <w:bCs/>
        </w:rPr>
      </w:pPr>
      <w:r w:rsidRPr="007A3895">
        <w:rPr>
          <w:b/>
          <w:bCs/>
        </w:rPr>
        <w:t xml:space="preserve">Dedicated BWPs for connected mode </w:t>
      </w:r>
    </w:p>
    <w:p w14:paraId="4F502E2E" w14:textId="77777777" w:rsidR="007A3895" w:rsidRPr="007A3895" w:rsidRDefault="007A3895" w:rsidP="007A3895">
      <w:pPr>
        <w:numPr>
          <w:ilvl w:val="1"/>
          <w:numId w:val="42"/>
        </w:numPr>
        <w:rPr>
          <w:b/>
          <w:bCs/>
        </w:rPr>
      </w:pPr>
      <w:r w:rsidRPr="007A3895">
        <w:rPr>
          <w:b/>
          <w:bCs/>
        </w:rPr>
        <w:t>High-performance BWPs</w:t>
      </w:r>
    </w:p>
    <w:p w14:paraId="52086DE1" w14:textId="77777777" w:rsidR="007A3895" w:rsidRPr="007A3895" w:rsidRDefault="007A3895" w:rsidP="007A3895">
      <w:pPr>
        <w:numPr>
          <w:ilvl w:val="1"/>
          <w:numId w:val="42"/>
        </w:numPr>
        <w:rPr>
          <w:b/>
          <w:bCs/>
        </w:rPr>
      </w:pPr>
      <w:r w:rsidRPr="007A3895">
        <w:rPr>
          <w:b/>
          <w:bCs/>
        </w:rPr>
        <w:t>Energy-efficient BWPs</w:t>
      </w:r>
    </w:p>
    <w:p w14:paraId="286C4268" w14:textId="77777777" w:rsidR="007A3895" w:rsidRPr="007A3895" w:rsidRDefault="007A3895" w:rsidP="007A3895">
      <w:pPr>
        <w:numPr>
          <w:ilvl w:val="0"/>
          <w:numId w:val="42"/>
        </w:numPr>
        <w:rPr>
          <w:b/>
          <w:bCs/>
        </w:rPr>
      </w:pPr>
      <w:r w:rsidRPr="007A3895">
        <w:rPr>
          <w:b/>
          <w:bCs/>
        </w:rPr>
        <w:t>FFS: necessity for other BWP types</w:t>
      </w:r>
    </w:p>
    <w:p w14:paraId="079096C9" w14:textId="2CB3EE87" w:rsidR="007A3895" w:rsidRDefault="00DE1BFF" w:rsidP="00867C59">
      <w:pPr>
        <w:rPr>
          <w:b/>
          <w:bCs/>
        </w:rPr>
      </w:pPr>
      <w:r>
        <w:rPr>
          <w:b/>
          <w:bCs/>
        </w:rPr>
        <w:fldChar w:fldCharType="begin"/>
      </w:r>
      <w:r>
        <w:rPr>
          <w:b/>
          <w:bCs/>
        </w:rPr>
        <w:instrText xml:space="preserve"> REF _Ref220682332 \h </w:instrText>
      </w:r>
      <w:r>
        <w:rPr>
          <w:b/>
          <w:bCs/>
        </w:rPr>
      </w:r>
      <w:r>
        <w:rPr>
          <w:b/>
          <w:bCs/>
        </w:rPr>
        <w:fldChar w:fldCharType="separate"/>
      </w:r>
      <w:r w:rsidR="00482437" w:rsidRPr="0007131D">
        <w:rPr>
          <w:rFonts w:eastAsiaTheme="minorEastAsia"/>
          <w:b/>
          <w:lang w:eastAsia="zh-TW"/>
        </w:rPr>
        <w:t xml:space="preserve">Proposal </w:t>
      </w:r>
      <w:r w:rsidR="00482437">
        <w:rPr>
          <w:rFonts w:eastAsiaTheme="minorEastAsia"/>
          <w:b/>
          <w:noProof/>
          <w:lang w:eastAsia="zh-TW"/>
        </w:rPr>
        <w:t>10</w:t>
      </w:r>
      <w:r w:rsidR="00482437" w:rsidRPr="0007131D">
        <w:rPr>
          <w:rFonts w:eastAsiaTheme="minorEastAsia"/>
          <w:b/>
          <w:lang w:eastAsia="zh-TW"/>
        </w:rPr>
        <w:t>: For BWP switching in RRC connected mode, support the following BWP switching scenarios</w:t>
      </w:r>
      <w:r>
        <w:rPr>
          <w:b/>
          <w:bCs/>
        </w:rPr>
        <w:fldChar w:fldCharType="end"/>
      </w:r>
    </w:p>
    <w:p w14:paraId="117D1ECC" w14:textId="77777777" w:rsidR="00DE1BFF" w:rsidRPr="00DE1BFF" w:rsidRDefault="00DE1BFF" w:rsidP="00DE1BFF">
      <w:pPr>
        <w:numPr>
          <w:ilvl w:val="0"/>
          <w:numId w:val="42"/>
        </w:numPr>
        <w:rPr>
          <w:b/>
          <w:bCs/>
        </w:rPr>
      </w:pPr>
      <w:r w:rsidRPr="00DE1BFF">
        <w:rPr>
          <w:b/>
          <w:bCs/>
        </w:rPr>
        <w:t xml:space="preserve">Scenario 1: Support bandwidth change without center frequency change </w:t>
      </w:r>
    </w:p>
    <w:p w14:paraId="08132D76" w14:textId="77777777" w:rsidR="00DE1BFF" w:rsidRPr="00DE1BFF" w:rsidRDefault="00DE1BFF" w:rsidP="00DE1BFF">
      <w:pPr>
        <w:numPr>
          <w:ilvl w:val="0"/>
          <w:numId w:val="42"/>
        </w:numPr>
        <w:rPr>
          <w:b/>
          <w:bCs/>
        </w:rPr>
      </w:pPr>
      <w:r w:rsidRPr="00DE1BFF">
        <w:rPr>
          <w:b/>
          <w:bCs/>
        </w:rPr>
        <w:t xml:space="preserve">Scenario 2: Support center frequency change without bandwidth change </w:t>
      </w:r>
    </w:p>
    <w:p w14:paraId="62C3C7EE" w14:textId="77777777" w:rsidR="00DE1BFF" w:rsidRPr="00DE1BFF" w:rsidRDefault="00DE1BFF" w:rsidP="00DE1BFF">
      <w:pPr>
        <w:numPr>
          <w:ilvl w:val="0"/>
          <w:numId w:val="42"/>
        </w:numPr>
        <w:rPr>
          <w:b/>
          <w:bCs/>
        </w:rPr>
      </w:pPr>
      <w:r w:rsidRPr="00DE1BFF">
        <w:rPr>
          <w:b/>
          <w:bCs/>
        </w:rPr>
        <w:t>Scenario 3: Support both bandwidth and center frequency change</w:t>
      </w:r>
    </w:p>
    <w:p w14:paraId="27D107F1" w14:textId="74DBA5F4" w:rsidR="00DE1BFF" w:rsidRDefault="0073712D" w:rsidP="00867C59">
      <w:pPr>
        <w:rPr>
          <w:b/>
          <w:bCs/>
        </w:rPr>
      </w:pPr>
      <w:r>
        <w:rPr>
          <w:b/>
          <w:bCs/>
        </w:rPr>
        <w:fldChar w:fldCharType="begin"/>
      </w:r>
      <w:r>
        <w:rPr>
          <w:b/>
          <w:bCs/>
        </w:rPr>
        <w:instrText xml:space="preserve"> REF _Ref220682363 \h </w:instrText>
      </w:r>
      <w:r>
        <w:rPr>
          <w:b/>
          <w:bCs/>
        </w:rPr>
      </w:r>
      <w:r>
        <w:rPr>
          <w:b/>
          <w:bCs/>
        </w:rPr>
        <w:fldChar w:fldCharType="separate"/>
      </w:r>
      <w:r w:rsidR="00482437" w:rsidRPr="0007131D">
        <w:rPr>
          <w:rFonts w:eastAsiaTheme="minorEastAsia"/>
          <w:b/>
          <w:lang w:eastAsia="zh-TW"/>
        </w:rPr>
        <w:t xml:space="preserve">Proposal </w:t>
      </w:r>
      <w:r w:rsidR="00482437">
        <w:rPr>
          <w:rFonts w:eastAsiaTheme="minorEastAsia"/>
          <w:b/>
          <w:noProof/>
          <w:lang w:eastAsia="zh-TW"/>
        </w:rPr>
        <w:t>11</w:t>
      </w:r>
      <w:r w:rsidR="00482437" w:rsidRPr="0007131D">
        <w:rPr>
          <w:rFonts w:eastAsiaTheme="minorEastAsia"/>
          <w:b/>
          <w:lang w:eastAsia="zh-TW"/>
        </w:rPr>
        <w:t>: Support the following BWP switch mechanisms for 6GR</w:t>
      </w:r>
      <w:r>
        <w:rPr>
          <w:b/>
          <w:bCs/>
        </w:rPr>
        <w:fldChar w:fldCharType="end"/>
      </w:r>
    </w:p>
    <w:p w14:paraId="420D082F" w14:textId="77777777" w:rsidR="0073712D" w:rsidRPr="0073712D" w:rsidRDefault="0073712D" w:rsidP="0073712D">
      <w:pPr>
        <w:numPr>
          <w:ilvl w:val="0"/>
          <w:numId w:val="43"/>
        </w:numPr>
        <w:rPr>
          <w:b/>
          <w:bCs/>
        </w:rPr>
      </w:pPr>
      <w:r w:rsidRPr="0073712D">
        <w:rPr>
          <w:b/>
          <w:bCs/>
        </w:rPr>
        <w:t xml:space="preserve">DCI-based BWP switching </w:t>
      </w:r>
    </w:p>
    <w:p w14:paraId="08FFCC51" w14:textId="77777777" w:rsidR="0073712D" w:rsidRPr="0073712D" w:rsidRDefault="0073712D" w:rsidP="0073712D">
      <w:pPr>
        <w:numPr>
          <w:ilvl w:val="0"/>
          <w:numId w:val="43"/>
        </w:numPr>
        <w:rPr>
          <w:b/>
          <w:bCs/>
        </w:rPr>
      </w:pPr>
      <w:r w:rsidRPr="0073712D">
        <w:rPr>
          <w:b/>
          <w:bCs/>
        </w:rPr>
        <w:t xml:space="preserve">Timer-based BWP switching as fallback for DCI-based BWP switching </w:t>
      </w:r>
    </w:p>
    <w:p w14:paraId="6ACDC317" w14:textId="45F86A1E" w:rsidR="0073712D" w:rsidRDefault="003A6954" w:rsidP="00867C59">
      <w:pPr>
        <w:rPr>
          <w:b/>
          <w:bCs/>
        </w:rPr>
      </w:pPr>
      <w:r>
        <w:rPr>
          <w:b/>
          <w:bCs/>
        </w:rPr>
        <w:fldChar w:fldCharType="begin"/>
      </w:r>
      <w:r>
        <w:rPr>
          <w:b/>
          <w:bCs/>
        </w:rPr>
        <w:instrText xml:space="preserve"> REF _Ref220682390 \h </w:instrText>
      </w:r>
      <w:r>
        <w:rPr>
          <w:b/>
          <w:bCs/>
        </w:rPr>
      </w:r>
      <w:r>
        <w:rPr>
          <w:b/>
          <w:bCs/>
        </w:rPr>
        <w:fldChar w:fldCharType="separate"/>
      </w:r>
      <w:r w:rsidR="00482437" w:rsidRPr="0007131D">
        <w:rPr>
          <w:rFonts w:eastAsiaTheme="minorEastAsia"/>
          <w:b/>
          <w:lang w:eastAsia="zh-TW"/>
        </w:rPr>
        <w:t xml:space="preserve">Proposal </w:t>
      </w:r>
      <w:r w:rsidR="00482437">
        <w:rPr>
          <w:rFonts w:eastAsiaTheme="minorEastAsia"/>
          <w:b/>
          <w:noProof/>
          <w:lang w:eastAsia="zh-TW"/>
        </w:rPr>
        <w:t>12</w:t>
      </w:r>
      <w:r w:rsidR="00482437" w:rsidRPr="0007131D">
        <w:rPr>
          <w:rFonts w:eastAsiaTheme="minorEastAsia"/>
          <w:b/>
          <w:lang w:eastAsia="zh-TW"/>
        </w:rPr>
        <w:t>: For BWP switching in 6GR, decouple interruption time from BWP switching delay</w:t>
      </w:r>
      <w:r>
        <w:rPr>
          <w:b/>
          <w:bCs/>
        </w:rPr>
        <w:fldChar w:fldCharType="end"/>
      </w:r>
    </w:p>
    <w:p w14:paraId="6A2758E1" w14:textId="524DC6FD" w:rsidR="003A6954" w:rsidRDefault="003A6954" w:rsidP="00867C59">
      <w:pPr>
        <w:rPr>
          <w:b/>
          <w:bCs/>
        </w:rPr>
      </w:pPr>
      <w:r>
        <w:rPr>
          <w:b/>
          <w:bCs/>
        </w:rPr>
        <w:fldChar w:fldCharType="begin"/>
      </w:r>
      <w:r>
        <w:rPr>
          <w:b/>
          <w:bCs/>
        </w:rPr>
        <w:instrText xml:space="preserve"> REF _Ref220682402 \h </w:instrText>
      </w:r>
      <w:r>
        <w:rPr>
          <w:b/>
          <w:bCs/>
        </w:rPr>
      </w:r>
      <w:r>
        <w:rPr>
          <w:b/>
          <w:bCs/>
        </w:rPr>
        <w:fldChar w:fldCharType="separate"/>
      </w:r>
      <w:r w:rsidR="00482437" w:rsidRPr="0007131D">
        <w:rPr>
          <w:rFonts w:eastAsiaTheme="minorEastAsia"/>
          <w:b/>
          <w:lang w:eastAsia="zh-TW"/>
        </w:rPr>
        <w:t xml:space="preserve">Proposal </w:t>
      </w:r>
      <w:r w:rsidR="00482437">
        <w:rPr>
          <w:rFonts w:eastAsiaTheme="minorEastAsia"/>
          <w:b/>
          <w:noProof/>
          <w:lang w:eastAsia="zh-TW"/>
        </w:rPr>
        <w:t>13</w:t>
      </w:r>
      <w:r w:rsidR="00482437" w:rsidRPr="0007131D">
        <w:rPr>
          <w:rFonts w:eastAsiaTheme="minorEastAsia"/>
          <w:b/>
          <w:lang w:eastAsia="zh-TW"/>
        </w:rPr>
        <w:t>: Liaise with RAN4 on which subset of parameters can be allowed to be changed to ensure a lean and fast switching procedure.</w:t>
      </w:r>
      <w:r>
        <w:rPr>
          <w:b/>
          <w:bCs/>
        </w:rPr>
        <w:fldChar w:fldCharType="end"/>
      </w:r>
    </w:p>
    <w:p w14:paraId="71AAF7C3" w14:textId="13EF147F" w:rsidR="003A6954" w:rsidRDefault="004C2522" w:rsidP="00867C59">
      <w:pPr>
        <w:rPr>
          <w:b/>
          <w:bCs/>
        </w:rPr>
      </w:pPr>
      <w:r>
        <w:rPr>
          <w:b/>
          <w:bCs/>
        </w:rPr>
        <w:fldChar w:fldCharType="begin"/>
      </w:r>
      <w:r>
        <w:rPr>
          <w:b/>
          <w:bCs/>
        </w:rPr>
        <w:instrText xml:space="preserve"> REF _Ref220682414 \h </w:instrText>
      </w:r>
      <w:r>
        <w:rPr>
          <w:b/>
          <w:bCs/>
        </w:rPr>
      </w:r>
      <w:r>
        <w:rPr>
          <w:b/>
          <w:bCs/>
        </w:rPr>
        <w:fldChar w:fldCharType="separate"/>
      </w:r>
      <w:r w:rsidR="00482437" w:rsidRPr="0007131D">
        <w:rPr>
          <w:rFonts w:eastAsiaTheme="minorEastAsia"/>
          <w:b/>
          <w:lang w:eastAsia="zh-TW"/>
        </w:rPr>
        <w:t xml:space="preserve">Proposal </w:t>
      </w:r>
      <w:r w:rsidR="00482437">
        <w:rPr>
          <w:rFonts w:eastAsiaTheme="minorEastAsia"/>
          <w:b/>
          <w:noProof/>
          <w:lang w:eastAsia="zh-TW"/>
        </w:rPr>
        <w:t>14</w:t>
      </w:r>
      <w:r w:rsidR="00482437" w:rsidRPr="0007131D">
        <w:rPr>
          <w:rFonts w:eastAsiaTheme="minorEastAsia"/>
          <w:b/>
          <w:lang w:eastAsia="zh-TW"/>
        </w:rPr>
        <w:t>: In principle, decouple DL and UL BWP switching.</w:t>
      </w:r>
      <w:r>
        <w:rPr>
          <w:b/>
          <w:bCs/>
        </w:rPr>
        <w:fldChar w:fldCharType="end"/>
      </w:r>
    </w:p>
    <w:p w14:paraId="6E44F8BC" w14:textId="77777777" w:rsidR="00C417ED" w:rsidRPr="00C417ED" w:rsidRDefault="00C417ED" w:rsidP="00C417ED">
      <w:pPr>
        <w:numPr>
          <w:ilvl w:val="0"/>
          <w:numId w:val="44"/>
        </w:numPr>
        <w:rPr>
          <w:b/>
          <w:bCs/>
        </w:rPr>
      </w:pPr>
      <w:r w:rsidRPr="00C417ED">
        <w:rPr>
          <w:b/>
          <w:bCs/>
        </w:rPr>
        <w:t>BWP pairing only for initial DL and UL BWPs which can have different center frequencies, even in TDD.</w:t>
      </w:r>
    </w:p>
    <w:p w14:paraId="7C0D4375" w14:textId="6AEC07C3" w:rsidR="004C2522" w:rsidRDefault="00527002" w:rsidP="00867C59">
      <w:pPr>
        <w:rPr>
          <w:b/>
          <w:bCs/>
        </w:rPr>
      </w:pPr>
      <w:r>
        <w:rPr>
          <w:b/>
          <w:bCs/>
        </w:rPr>
        <w:fldChar w:fldCharType="begin"/>
      </w:r>
      <w:r>
        <w:rPr>
          <w:b/>
          <w:bCs/>
        </w:rPr>
        <w:instrText xml:space="preserve"> REF _Ref220682443 \h </w:instrText>
      </w:r>
      <w:r>
        <w:rPr>
          <w:b/>
          <w:bCs/>
        </w:rPr>
      </w:r>
      <w:r>
        <w:rPr>
          <w:b/>
          <w:bCs/>
        </w:rPr>
        <w:fldChar w:fldCharType="separate"/>
      </w:r>
      <w:r w:rsidR="00482437" w:rsidRPr="0007131D">
        <w:rPr>
          <w:rFonts w:eastAsiaTheme="minorEastAsia"/>
          <w:b/>
          <w:lang w:eastAsia="zh-TW"/>
        </w:rPr>
        <w:t xml:space="preserve">Proposal </w:t>
      </w:r>
      <w:r w:rsidR="00482437">
        <w:rPr>
          <w:rFonts w:eastAsiaTheme="minorEastAsia"/>
          <w:b/>
          <w:noProof/>
          <w:lang w:eastAsia="zh-TW"/>
        </w:rPr>
        <w:t>15</w:t>
      </w:r>
      <w:r w:rsidR="00482437" w:rsidRPr="0007131D">
        <w:rPr>
          <w:rFonts w:eastAsiaTheme="minorEastAsia"/>
          <w:b/>
          <w:lang w:eastAsia="zh-TW"/>
        </w:rPr>
        <w:t>: To enhance DCI-based BWP switch reliability, consider the following directions:</w:t>
      </w:r>
      <w:r>
        <w:rPr>
          <w:b/>
          <w:bCs/>
        </w:rPr>
        <w:fldChar w:fldCharType="end"/>
      </w:r>
    </w:p>
    <w:p w14:paraId="15138523" w14:textId="77777777" w:rsidR="00527002" w:rsidRPr="00527002" w:rsidRDefault="00527002" w:rsidP="00527002">
      <w:pPr>
        <w:numPr>
          <w:ilvl w:val="0"/>
          <w:numId w:val="45"/>
        </w:numPr>
        <w:rPr>
          <w:b/>
          <w:bCs/>
        </w:rPr>
      </w:pPr>
      <w:r w:rsidRPr="00527002">
        <w:rPr>
          <w:b/>
          <w:bCs/>
        </w:rPr>
        <w:t>Reduce false alarm rates for BWP switch command</w:t>
      </w:r>
    </w:p>
    <w:p w14:paraId="28E75ADF" w14:textId="77777777" w:rsidR="00527002" w:rsidRPr="00527002" w:rsidRDefault="00527002" w:rsidP="00527002">
      <w:pPr>
        <w:numPr>
          <w:ilvl w:val="1"/>
          <w:numId w:val="45"/>
        </w:numPr>
        <w:rPr>
          <w:b/>
          <w:bCs/>
        </w:rPr>
      </w:pPr>
      <w:r w:rsidRPr="00527002">
        <w:rPr>
          <w:b/>
          <w:bCs/>
        </w:rPr>
        <w:t xml:space="preserve">e.g. Dedicated and compact DCI for BWP switching </w:t>
      </w:r>
    </w:p>
    <w:p w14:paraId="4E95D79B" w14:textId="77777777" w:rsidR="00527002" w:rsidRPr="00527002" w:rsidRDefault="00527002" w:rsidP="00527002">
      <w:pPr>
        <w:numPr>
          <w:ilvl w:val="0"/>
          <w:numId w:val="45"/>
        </w:numPr>
        <w:rPr>
          <w:b/>
          <w:bCs/>
        </w:rPr>
      </w:pPr>
      <w:r w:rsidRPr="00527002">
        <w:rPr>
          <w:b/>
          <w:bCs/>
        </w:rPr>
        <w:t>Enhance acknowledgement mechanisms</w:t>
      </w:r>
    </w:p>
    <w:p w14:paraId="7958D569" w14:textId="4408C9D4" w:rsidR="00527002" w:rsidRDefault="004209D7" w:rsidP="00867C59">
      <w:pPr>
        <w:rPr>
          <w:b/>
          <w:bCs/>
        </w:rPr>
      </w:pPr>
      <w:r>
        <w:rPr>
          <w:b/>
          <w:bCs/>
        </w:rPr>
        <w:fldChar w:fldCharType="begin"/>
      </w:r>
      <w:r>
        <w:rPr>
          <w:b/>
          <w:bCs/>
        </w:rPr>
        <w:instrText xml:space="preserve"> REF _Ref220682482 \h </w:instrText>
      </w:r>
      <w:r>
        <w:rPr>
          <w:b/>
          <w:bCs/>
        </w:rPr>
      </w:r>
      <w:r>
        <w:rPr>
          <w:b/>
          <w:bCs/>
        </w:rPr>
        <w:fldChar w:fldCharType="separate"/>
      </w:r>
      <w:r w:rsidR="00482437" w:rsidRPr="00D127D0">
        <w:rPr>
          <w:rFonts w:eastAsiaTheme="minorEastAsia"/>
          <w:b/>
          <w:bCs/>
          <w:lang w:eastAsia="zh-TW"/>
        </w:rPr>
        <w:t xml:space="preserve">Proposal </w:t>
      </w:r>
      <w:r w:rsidR="00482437">
        <w:rPr>
          <w:rFonts w:eastAsiaTheme="minorEastAsia"/>
          <w:b/>
          <w:bCs/>
          <w:noProof/>
          <w:lang w:eastAsia="zh-TW"/>
        </w:rPr>
        <w:t>16</w:t>
      </w:r>
      <w:r w:rsidR="00482437" w:rsidRPr="00D127D0">
        <w:rPr>
          <w:rFonts w:eastAsiaTheme="minorEastAsia"/>
          <w:b/>
          <w:bCs/>
          <w:lang w:eastAsia="zh-TW"/>
        </w:rPr>
        <w:t>: Extend the BWP framework to support non-contiguous resource allocation (multiple frequency clusters) within a single active BWP for multi-carrier cell scenarios.</w:t>
      </w:r>
      <w:r>
        <w:rPr>
          <w:b/>
          <w:bCs/>
        </w:rPr>
        <w:fldChar w:fldCharType="end"/>
      </w:r>
    </w:p>
    <w:p w14:paraId="6589344E" w14:textId="15B4B0AE" w:rsidR="004209D7" w:rsidRPr="00F70A44" w:rsidRDefault="00AC4235" w:rsidP="00867C59">
      <w:pPr>
        <w:rPr>
          <w:b/>
          <w:bCs/>
        </w:rPr>
      </w:pPr>
      <w:r>
        <w:rPr>
          <w:b/>
          <w:bCs/>
        </w:rPr>
        <w:fldChar w:fldCharType="begin"/>
      </w:r>
      <w:r>
        <w:rPr>
          <w:b/>
          <w:bCs/>
        </w:rPr>
        <w:instrText xml:space="preserve"> REF _Ref220682517 \h </w:instrText>
      </w:r>
      <w:r>
        <w:rPr>
          <w:b/>
          <w:bCs/>
        </w:rPr>
      </w:r>
      <w:r>
        <w:rPr>
          <w:b/>
          <w:bCs/>
        </w:rPr>
        <w:fldChar w:fldCharType="separate"/>
      </w:r>
      <w:r w:rsidR="00482437" w:rsidRPr="00583760">
        <w:rPr>
          <w:rFonts w:eastAsiaTheme="minorEastAsia"/>
          <w:b/>
          <w:lang w:eastAsia="zh-TW"/>
        </w:rPr>
        <w:t xml:space="preserve">Proposal </w:t>
      </w:r>
      <w:r w:rsidR="00482437">
        <w:rPr>
          <w:rFonts w:eastAsiaTheme="minorEastAsia"/>
          <w:b/>
          <w:noProof/>
          <w:lang w:eastAsia="zh-TW"/>
        </w:rPr>
        <w:t>17</w:t>
      </w:r>
      <w:r w:rsidR="00482437" w:rsidRPr="00583760">
        <w:rPr>
          <w:rFonts w:eastAsiaTheme="minorEastAsia"/>
          <w:b/>
          <w:lang w:eastAsia="zh-TW"/>
        </w:rPr>
        <w:t xml:space="preserve">: </w:t>
      </w:r>
      <w:r w:rsidR="00482437" w:rsidRPr="00583760">
        <w:rPr>
          <w:rFonts w:eastAsiaTheme="minorEastAsia"/>
          <w:b/>
          <w:bCs/>
          <w:lang w:eastAsia="zh-TW"/>
        </w:rPr>
        <w:t xml:space="preserve">Study </w:t>
      </w:r>
      <w:r w:rsidR="00482437">
        <w:rPr>
          <w:rFonts w:eastAsiaTheme="minorEastAsia" w:hint="eastAsia"/>
          <w:b/>
          <w:bCs/>
          <w:lang w:eastAsia="zh-TW"/>
        </w:rPr>
        <w:t>c</w:t>
      </w:r>
      <w:r w:rsidR="00482437" w:rsidRPr="00583760">
        <w:rPr>
          <w:rFonts w:eastAsiaTheme="minorEastAsia"/>
          <w:b/>
          <w:bCs/>
          <w:lang w:eastAsia="zh-TW"/>
        </w:rPr>
        <w:t xml:space="preserve">ell/group-wise </w:t>
      </w:r>
      <w:r w:rsidR="00482437">
        <w:rPr>
          <w:rFonts w:eastAsiaTheme="minorEastAsia" w:hint="eastAsia"/>
          <w:b/>
          <w:bCs/>
          <w:lang w:eastAsia="zh-TW"/>
        </w:rPr>
        <w:t xml:space="preserve">BWP switching </w:t>
      </w:r>
      <w:r w:rsidR="00482437" w:rsidRPr="00583760">
        <w:rPr>
          <w:rFonts w:eastAsiaTheme="minorEastAsia"/>
          <w:b/>
          <w:bCs/>
          <w:lang w:eastAsia="zh-TW"/>
        </w:rPr>
        <w:t>indication for</w:t>
      </w:r>
      <w:r w:rsidR="00482437">
        <w:rPr>
          <w:rFonts w:eastAsiaTheme="minorEastAsia"/>
          <w:b/>
          <w:bCs/>
          <w:lang w:eastAsia="zh-TW"/>
        </w:rPr>
        <w:t xml:space="preserve"> joint UE and</w:t>
      </w:r>
      <w:r w:rsidR="00482437" w:rsidRPr="00583760">
        <w:rPr>
          <w:rFonts w:eastAsiaTheme="minorEastAsia"/>
          <w:b/>
          <w:bCs/>
          <w:lang w:eastAsia="zh-TW"/>
        </w:rPr>
        <w:t xml:space="preserve"> network energy saving</w:t>
      </w:r>
      <w:r w:rsidR="00482437">
        <w:rPr>
          <w:rFonts w:eastAsiaTheme="minorEastAsia" w:hint="eastAsia"/>
          <w:b/>
          <w:bCs/>
          <w:lang w:eastAsia="zh-TW"/>
        </w:rPr>
        <w:t xml:space="preserve"> in 6G.</w:t>
      </w:r>
      <w:r>
        <w:rPr>
          <w:b/>
          <w:bCs/>
        </w:rPr>
        <w:fldChar w:fldCharType="end"/>
      </w:r>
    </w:p>
    <w:p w14:paraId="66EFD5C2" w14:textId="27FBB53F" w:rsidR="00623C18" w:rsidRDefault="00623C18" w:rsidP="00623C18">
      <w:pPr>
        <w:pStyle w:val="Heading1"/>
        <w:numPr>
          <w:ilvl w:val="0"/>
          <w:numId w:val="0"/>
        </w:numPr>
        <w:ind w:left="432" w:hanging="432"/>
        <w:jc w:val="both"/>
        <w:rPr>
          <w:lang w:val="en-US" w:eastAsia="zh-CN"/>
        </w:rPr>
      </w:pPr>
      <w:r>
        <w:rPr>
          <w:rFonts w:eastAsia="SimSun"/>
          <w:lang w:val="en-US" w:eastAsia="zh-CN"/>
        </w:rPr>
        <w:t xml:space="preserve">References </w:t>
      </w:r>
    </w:p>
    <w:p w14:paraId="136B9DA0" w14:textId="23A73196" w:rsidR="00A052E0" w:rsidRPr="000619AA" w:rsidRDefault="00623C18" w:rsidP="00A052E0">
      <w:pPr>
        <w:numPr>
          <w:ilvl w:val="0"/>
          <w:numId w:val="14"/>
        </w:numPr>
        <w:overflowPunct/>
        <w:autoSpaceDE/>
        <w:spacing w:after="120"/>
        <w:textAlignment w:val="auto"/>
        <w:rPr>
          <w:lang w:eastAsia="zh-CN"/>
        </w:rPr>
      </w:pPr>
      <w:bookmarkStart w:id="42" w:name="_Ref189662423"/>
      <w:bookmarkStart w:id="43" w:name="_Ref192147570"/>
      <w:bookmarkStart w:id="44" w:name="_Ref174135906"/>
      <w:bookmarkStart w:id="45" w:name="_Ref149935817"/>
      <w:bookmarkStart w:id="46" w:name="_Ref131794943"/>
      <w:bookmarkStart w:id="47" w:name="_Ref131684639"/>
      <w:bookmarkStart w:id="48" w:name="_Ref163135714"/>
      <w:r w:rsidRPr="00A27823">
        <w:t>RP-2</w:t>
      </w:r>
      <w:r w:rsidR="00DC6922" w:rsidRPr="00A27823">
        <w:t>51881</w:t>
      </w:r>
      <w:r w:rsidRPr="00A27823">
        <w:t>, “</w:t>
      </w:r>
      <w:r w:rsidR="00420AE3" w:rsidRPr="00A27823">
        <w:t>New SID: Study on 6G Radio</w:t>
      </w:r>
      <w:r w:rsidRPr="00A27823">
        <w:t xml:space="preserve">,” </w:t>
      </w:r>
      <w:bookmarkEnd w:id="42"/>
      <w:r w:rsidR="00420AE3" w:rsidRPr="00A27823">
        <w:t xml:space="preserve">NTT DOCOMO (Moderator), </w:t>
      </w:r>
      <w:r w:rsidRPr="00A27823">
        <w:t>3GPP RAN #10</w:t>
      </w:r>
      <w:r w:rsidR="009C3F74" w:rsidRPr="00A27823">
        <w:t>8</w:t>
      </w:r>
      <w:r w:rsidRPr="00A27823">
        <w:t xml:space="preserve"> </w:t>
      </w:r>
      <w:r w:rsidR="00165F9E" w:rsidRPr="00A27823">
        <w:t>M</w:t>
      </w:r>
      <w:r w:rsidRPr="00A27823">
        <w:t xml:space="preserve">eeting, </w:t>
      </w:r>
      <w:r w:rsidR="009C3F74" w:rsidRPr="00A27823">
        <w:t>June</w:t>
      </w:r>
      <w:r w:rsidRPr="00A27823">
        <w:t xml:space="preserve"> 202</w:t>
      </w:r>
      <w:bookmarkEnd w:id="43"/>
      <w:r w:rsidR="009C3F74" w:rsidRPr="00A27823">
        <w:t>5</w:t>
      </w:r>
      <w:bookmarkEnd w:id="44"/>
      <w:bookmarkEnd w:id="45"/>
      <w:bookmarkEnd w:id="46"/>
      <w:bookmarkEnd w:id="47"/>
      <w:bookmarkEnd w:id="48"/>
    </w:p>
    <w:sectPr w:rsidR="00A052E0" w:rsidRPr="000619AA" w:rsidSect="0054620D">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4F3D7" w14:textId="77777777" w:rsidR="00443231" w:rsidRDefault="00443231">
      <w:r>
        <w:separator/>
      </w:r>
    </w:p>
  </w:endnote>
  <w:endnote w:type="continuationSeparator" w:id="0">
    <w:p w14:paraId="0D9B5D50" w14:textId="77777777" w:rsidR="00443231" w:rsidRDefault="00443231">
      <w:r>
        <w:continuationSeparator/>
      </w:r>
    </w:p>
  </w:endnote>
  <w:endnote w:type="continuationNotice" w:id="1">
    <w:p w14:paraId="60B96D81" w14:textId="77777777" w:rsidR="00CE51DD" w:rsidRDefault="00CE5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E643" w14:textId="77777777" w:rsidR="00443231" w:rsidRDefault="00443231">
      <w:r>
        <w:separator/>
      </w:r>
    </w:p>
  </w:footnote>
  <w:footnote w:type="continuationSeparator" w:id="0">
    <w:p w14:paraId="4E32E020" w14:textId="77777777" w:rsidR="00443231" w:rsidRDefault="00443231">
      <w:r>
        <w:continuationSeparator/>
      </w:r>
    </w:p>
  </w:footnote>
  <w:footnote w:type="continuationNotice" w:id="1">
    <w:p w14:paraId="230A1DE9" w14:textId="77777777" w:rsidR="00CE51DD" w:rsidRDefault="00CE51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010F"/>
    <w:multiLevelType w:val="hybridMultilevel"/>
    <w:tmpl w:val="8F4A7616"/>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 w15:restartNumberingAfterBreak="0">
    <w:nsid w:val="009E5282"/>
    <w:multiLevelType w:val="hybridMultilevel"/>
    <w:tmpl w:val="CEEE1DF0"/>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AD24C9"/>
    <w:multiLevelType w:val="hybridMultilevel"/>
    <w:tmpl w:val="D40417E2"/>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454C42"/>
    <w:multiLevelType w:val="hybridMultilevel"/>
    <w:tmpl w:val="6BEEFD70"/>
    <w:lvl w:ilvl="0" w:tplc="4EA0AC6E">
      <w:start w:val="1"/>
      <w:numFmt w:val="bullet"/>
      <w:lvlText w:val=""/>
      <w:lvlJc w:val="left"/>
      <w:pPr>
        <w:ind w:left="770" w:hanging="360"/>
      </w:pPr>
      <w:rPr>
        <w:rFonts w:ascii="Symbol" w:hAnsi="Symbol" w:hint="default"/>
        <w:sz w:val="2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0FB8314D"/>
    <w:multiLevelType w:val="hybridMultilevel"/>
    <w:tmpl w:val="01D462AA"/>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8035CC"/>
    <w:multiLevelType w:val="hybridMultilevel"/>
    <w:tmpl w:val="21B6A212"/>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311A4B"/>
    <w:multiLevelType w:val="hybridMultilevel"/>
    <w:tmpl w:val="D0E0D952"/>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3"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0375FA"/>
    <w:multiLevelType w:val="hybridMultilevel"/>
    <w:tmpl w:val="A7E8E3A2"/>
    <w:lvl w:ilvl="0" w:tplc="4EA0AC6E">
      <w:start w:val="1"/>
      <w:numFmt w:val="bullet"/>
      <w:lvlText w:val=""/>
      <w:lvlJc w:val="left"/>
      <w:pPr>
        <w:ind w:left="770" w:hanging="360"/>
      </w:pPr>
      <w:rPr>
        <w:rFonts w:ascii="Symbol" w:hAnsi="Symbol" w:hint="default"/>
        <w:sz w:val="2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EFD6BAE"/>
    <w:multiLevelType w:val="hybridMultilevel"/>
    <w:tmpl w:val="6BD66D6C"/>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461"/>
    <w:multiLevelType w:val="hybridMultilevel"/>
    <w:tmpl w:val="49687260"/>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0F2DA5"/>
    <w:multiLevelType w:val="hybridMultilevel"/>
    <w:tmpl w:val="9EEC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56616"/>
    <w:multiLevelType w:val="multilevel"/>
    <w:tmpl w:val="4636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427078A8"/>
    <w:multiLevelType w:val="hybridMultilevel"/>
    <w:tmpl w:val="2BE0B1BC"/>
    <w:lvl w:ilvl="0" w:tplc="707E01A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1904AE4"/>
    <w:multiLevelType w:val="hybridMultilevel"/>
    <w:tmpl w:val="9AC644CE"/>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8" w15:restartNumberingAfterBreak="0">
    <w:nsid w:val="611C3136"/>
    <w:multiLevelType w:val="multilevel"/>
    <w:tmpl w:val="279CF5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513F94"/>
    <w:multiLevelType w:val="hybridMultilevel"/>
    <w:tmpl w:val="1A441076"/>
    <w:lvl w:ilvl="0" w:tplc="FDDC8992">
      <w:start w:val="1"/>
      <w:numFmt w:val="decimal"/>
      <w:lvlText w:val="%1."/>
      <w:lvlJc w:val="left"/>
      <w:pPr>
        <w:ind w:left="720" w:hanging="360"/>
      </w:pPr>
      <w:rPr>
        <w:rFonts w:hint="eastAsia"/>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B9F1431"/>
    <w:multiLevelType w:val="hybridMultilevel"/>
    <w:tmpl w:val="BEF2FC18"/>
    <w:lvl w:ilvl="0" w:tplc="4EA0AC6E">
      <w:start w:val="1"/>
      <w:numFmt w:val="bullet"/>
      <w:lvlText w:val=""/>
      <w:lvlJc w:val="left"/>
      <w:pPr>
        <w:ind w:left="764" w:hanging="480"/>
      </w:pPr>
      <w:rPr>
        <w:rFonts w:ascii="Symbol" w:hAnsi="Symbol" w:hint="default"/>
        <w:sz w:val="20"/>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5BA2BA4"/>
    <w:multiLevelType w:val="hybridMultilevel"/>
    <w:tmpl w:val="EEC8ED84"/>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46698"/>
    <w:multiLevelType w:val="hybridMultilevel"/>
    <w:tmpl w:val="6DFCEE14"/>
    <w:lvl w:ilvl="0" w:tplc="707E01A8">
      <w:start w:val="1"/>
      <w:numFmt w:val="bullet"/>
      <w:lvlText w:val=""/>
      <w:lvlJc w:val="left"/>
      <w:pPr>
        <w:ind w:left="764" w:hanging="480"/>
      </w:pPr>
      <w:rPr>
        <w:rFonts w:ascii="Wingdings" w:hAnsi="Wingdings" w:hint="default"/>
      </w:rPr>
    </w:lvl>
    <w:lvl w:ilvl="1" w:tplc="A1C0BB14">
      <w:start w:val="1"/>
      <w:numFmt w:val="bullet"/>
      <w:lvlText w:val="‐"/>
      <w:lvlJc w:val="left"/>
      <w:pPr>
        <w:ind w:left="1244" w:hanging="480"/>
      </w:pPr>
      <w:rPr>
        <w:rFonts w:ascii="新細明體" w:eastAsia="新細明體" w:hAnsi="新細明體" w:hint="eastAsia"/>
      </w:rPr>
    </w:lvl>
    <w:lvl w:ilvl="2" w:tplc="04090009">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6"/>
  </w:num>
  <w:num w:numId="2" w16cid:durableId="1637754017">
    <w:abstractNumId w:val="5"/>
  </w:num>
  <w:num w:numId="3" w16cid:durableId="1589804495">
    <w:abstractNumId w:val="34"/>
  </w:num>
  <w:num w:numId="4" w16cid:durableId="552733674">
    <w:abstractNumId w:val="35"/>
  </w:num>
  <w:num w:numId="5" w16cid:durableId="1677728921">
    <w:abstractNumId w:val="2"/>
  </w:num>
  <w:num w:numId="6" w16cid:durableId="1137146001">
    <w:abstractNumId w:val="22"/>
  </w:num>
  <w:num w:numId="7" w16cid:durableId="1799103365">
    <w:abstractNumId w:val="24"/>
  </w:num>
  <w:num w:numId="8" w16cid:durableId="944925966">
    <w:abstractNumId w:val="3"/>
  </w:num>
  <w:num w:numId="9" w16cid:durableId="1573929314">
    <w:abstractNumId w:val="11"/>
  </w:num>
  <w:num w:numId="10" w16cid:durableId="1085147673">
    <w:abstractNumId w:val="19"/>
  </w:num>
  <w:num w:numId="11" w16cid:durableId="287592762">
    <w:abstractNumId w:val="13"/>
  </w:num>
  <w:num w:numId="12" w16cid:durableId="611472356">
    <w:abstractNumId w:val="33"/>
  </w:num>
  <w:num w:numId="13" w16cid:durableId="789014941">
    <w:abstractNumId w:val="9"/>
  </w:num>
  <w:num w:numId="14" w16cid:durableId="20621719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447832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092952">
    <w:abstractNumId w:val="29"/>
  </w:num>
  <w:num w:numId="17" w16cid:durableId="470446123">
    <w:abstractNumId w:val="32"/>
  </w:num>
  <w:num w:numId="18" w16cid:durableId="1705861350">
    <w:abstractNumId w:val="15"/>
  </w:num>
  <w:num w:numId="19" w16cid:durableId="1676807796">
    <w:abstractNumId w:val="20"/>
  </w:num>
  <w:num w:numId="20" w16cid:durableId="390809730">
    <w:abstractNumId w:val="21"/>
  </w:num>
  <w:num w:numId="21" w16cid:durableId="159007290">
    <w:abstractNumId w:val="4"/>
  </w:num>
  <w:num w:numId="22" w16cid:durableId="1261525713">
    <w:abstractNumId w:val="25"/>
  </w:num>
  <w:num w:numId="23" w16cid:durableId="530186263">
    <w:abstractNumId w:val="17"/>
  </w:num>
  <w:num w:numId="24" w16cid:durableId="139005632">
    <w:abstractNumId w:val="18"/>
  </w:num>
  <w:num w:numId="25" w16cid:durableId="1417897238">
    <w:abstractNumId w:val="28"/>
  </w:num>
  <w:num w:numId="26" w16cid:durableId="1404598686">
    <w:abstractNumId w:val="31"/>
  </w:num>
  <w:num w:numId="27" w16cid:durableId="1484349386">
    <w:abstractNumId w:val="1"/>
  </w:num>
  <w:num w:numId="28" w16cid:durableId="16274485">
    <w:abstractNumId w:val="12"/>
  </w:num>
  <w:num w:numId="29" w16cid:durableId="1439833531">
    <w:abstractNumId w:val="0"/>
  </w:num>
  <w:num w:numId="30" w16cid:durableId="547572289">
    <w:abstractNumId w:val="7"/>
  </w:num>
  <w:num w:numId="31" w16cid:durableId="424232156">
    <w:abstractNumId w:val="27"/>
  </w:num>
  <w:num w:numId="32" w16cid:durableId="1339889582">
    <w:abstractNumId w:val="14"/>
  </w:num>
  <w:num w:numId="33" w16cid:durableId="1335304007">
    <w:abstractNumId w:val="10"/>
  </w:num>
  <w:num w:numId="34" w16cid:durableId="1694843601">
    <w:abstractNumId w:val="16"/>
  </w:num>
  <w:num w:numId="35" w16cid:durableId="1553809798">
    <w:abstractNumId w:val="8"/>
  </w:num>
  <w:num w:numId="36" w16cid:durableId="1698038332">
    <w:abstractNumId w:val="30"/>
  </w:num>
  <w:num w:numId="37" w16cid:durableId="1713580062">
    <w:abstractNumId w:val="20"/>
  </w:num>
  <w:num w:numId="38" w16cid:durableId="1923299905">
    <w:abstractNumId w:val="15"/>
  </w:num>
  <w:num w:numId="39" w16cid:durableId="1666588267">
    <w:abstractNumId w:val="4"/>
  </w:num>
  <w:num w:numId="40" w16cid:durableId="525408644">
    <w:abstractNumId w:val="28"/>
  </w:num>
  <w:num w:numId="41" w16cid:durableId="1275093016">
    <w:abstractNumId w:val="31"/>
  </w:num>
  <w:num w:numId="42" w16cid:durableId="1270355732">
    <w:abstractNumId w:val="1"/>
  </w:num>
  <w:num w:numId="43" w16cid:durableId="1536189428">
    <w:abstractNumId w:val="7"/>
  </w:num>
  <w:num w:numId="44" w16cid:durableId="1114713267">
    <w:abstractNumId w:val="30"/>
  </w:num>
  <w:num w:numId="45" w16cid:durableId="3508948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2BF"/>
    <w:rsid w:val="00000537"/>
    <w:rsid w:val="0000053D"/>
    <w:rsid w:val="00000560"/>
    <w:rsid w:val="00000823"/>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BF"/>
    <w:rsid w:val="000027C4"/>
    <w:rsid w:val="000027CD"/>
    <w:rsid w:val="00002862"/>
    <w:rsid w:val="00002ADB"/>
    <w:rsid w:val="00002B0A"/>
    <w:rsid w:val="00002C5F"/>
    <w:rsid w:val="00002D53"/>
    <w:rsid w:val="00002DAF"/>
    <w:rsid w:val="00002FC8"/>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0E6"/>
    <w:rsid w:val="00005153"/>
    <w:rsid w:val="0000535C"/>
    <w:rsid w:val="000056BD"/>
    <w:rsid w:val="00005718"/>
    <w:rsid w:val="000058B5"/>
    <w:rsid w:val="000058BF"/>
    <w:rsid w:val="00005912"/>
    <w:rsid w:val="00005A41"/>
    <w:rsid w:val="00005BAF"/>
    <w:rsid w:val="00005D22"/>
    <w:rsid w:val="00005D3B"/>
    <w:rsid w:val="0000613E"/>
    <w:rsid w:val="00006161"/>
    <w:rsid w:val="00006264"/>
    <w:rsid w:val="0000699D"/>
    <w:rsid w:val="00006AA0"/>
    <w:rsid w:val="00006B76"/>
    <w:rsid w:val="00006BB9"/>
    <w:rsid w:val="00006D2A"/>
    <w:rsid w:val="00006DBB"/>
    <w:rsid w:val="00006DF3"/>
    <w:rsid w:val="00006DFA"/>
    <w:rsid w:val="00006FD9"/>
    <w:rsid w:val="00007146"/>
    <w:rsid w:val="0000722D"/>
    <w:rsid w:val="000075AC"/>
    <w:rsid w:val="0000769D"/>
    <w:rsid w:val="000076AC"/>
    <w:rsid w:val="00007D0B"/>
    <w:rsid w:val="00007EDA"/>
    <w:rsid w:val="00007EEC"/>
    <w:rsid w:val="00007FCF"/>
    <w:rsid w:val="00010048"/>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265"/>
    <w:rsid w:val="0001268C"/>
    <w:rsid w:val="00012803"/>
    <w:rsid w:val="00012939"/>
    <w:rsid w:val="00012B4C"/>
    <w:rsid w:val="00012C8D"/>
    <w:rsid w:val="00012D26"/>
    <w:rsid w:val="00012E36"/>
    <w:rsid w:val="00012E5E"/>
    <w:rsid w:val="00012F72"/>
    <w:rsid w:val="00013008"/>
    <w:rsid w:val="000130F6"/>
    <w:rsid w:val="00013171"/>
    <w:rsid w:val="000132ED"/>
    <w:rsid w:val="000133B8"/>
    <w:rsid w:val="0001353C"/>
    <w:rsid w:val="0001390A"/>
    <w:rsid w:val="00013A25"/>
    <w:rsid w:val="00013B65"/>
    <w:rsid w:val="00013C8F"/>
    <w:rsid w:val="00013CB8"/>
    <w:rsid w:val="00013CF8"/>
    <w:rsid w:val="00013D6C"/>
    <w:rsid w:val="00013D80"/>
    <w:rsid w:val="00013EC7"/>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A36"/>
    <w:rsid w:val="00016C8F"/>
    <w:rsid w:val="00016FFF"/>
    <w:rsid w:val="0001701A"/>
    <w:rsid w:val="0001708A"/>
    <w:rsid w:val="000170F9"/>
    <w:rsid w:val="00017186"/>
    <w:rsid w:val="000173AC"/>
    <w:rsid w:val="00017446"/>
    <w:rsid w:val="000174BC"/>
    <w:rsid w:val="0001751A"/>
    <w:rsid w:val="00017C1F"/>
    <w:rsid w:val="00017C43"/>
    <w:rsid w:val="00017D91"/>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4F"/>
    <w:rsid w:val="00023E5C"/>
    <w:rsid w:val="00023E79"/>
    <w:rsid w:val="00024084"/>
    <w:rsid w:val="0002425A"/>
    <w:rsid w:val="000245A8"/>
    <w:rsid w:val="000245C5"/>
    <w:rsid w:val="000245D7"/>
    <w:rsid w:val="000245E3"/>
    <w:rsid w:val="00024649"/>
    <w:rsid w:val="0002469E"/>
    <w:rsid w:val="00024BB5"/>
    <w:rsid w:val="00024C71"/>
    <w:rsid w:val="00024DC5"/>
    <w:rsid w:val="00024FE9"/>
    <w:rsid w:val="00025434"/>
    <w:rsid w:val="00025558"/>
    <w:rsid w:val="00025606"/>
    <w:rsid w:val="0002577D"/>
    <w:rsid w:val="00025A2E"/>
    <w:rsid w:val="00025B8E"/>
    <w:rsid w:val="00025BA5"/>
    <w:rsid w:val="00025C98"/>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B2E"/>
    <w:rsid w:val="00027E11"/>
    <w:rsid w:val="00027ED1"/>
    <w:rsid w:val="0003058F"/>
    <w:rsid w:val="00030761"/>
    <w:rsid w:val="00030BFD"/>
    <w:rsid w:val="00030EEF"/>
    <w:rsid w:val="0003115A"/>
    <w:rsid w:val="00031198"/>
    <w:rsid w:val="0003122C"/>
    <w:rsid w:val="00031567"/>
    <w:rsid w:val="000316DD"/>
    <w:rsid w:val="000319EE"/>
    <w:rsid w:val="00031D89"/>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4BD"/>
    <w:rsid w:val="000335E0"/>
    <w:rsid w:val="00033639"/>
    <w:rsid w:val="00033ABF"/>
    <w:rsid w:val="00033D87"/>
    <w:rsid w:val="00033E0F"/>
    <w:rsid w:val="00033F21"/>
    <w:rsid w:val="00033F57"/>
    <w:rsid w:val="0003419C"/>
    <w:rsid w:val="000342D7"/>
    <w:rsid w:val="000343B7"/>
    <w:rsid w:val="000343BF"/>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9"/>
    <w:rsid w:val="00036023"/>
    <w:rsid w:val="0003621D"/>
    <w:rsid w:val="00036333"/>
    <w:rsid w:val="0003638B"/>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762"/>
    <w:rsid w:val="0003798A"/>
    <w:rsid w:val="00037A42"/>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0D2A"/>
    <w:rsid w:val="0004101D"/>
    <w:rsid w:val="00041230"/>
    <w:rsid w:val="0004127F"/>
    <w:rsid w:val="00041315"/>
    <w:rsid w:val="00041387"/>
    <w:rsid w:val="00041767"/>
    <w:rsid w:val="000418D1"/>
    <w:rsid w:val="000419D7"/>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00"/>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7FC"/>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D1"/>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73A"/>
    <w:rsid w:val="000618EE"/>
    <w:rsid w:val="00061978"/>
    <w:rsid w:val="000619AA"/>
    <w:rsid w:val="00061ABD"/>
    <w:rsid w:val="00061BBC"/>
    <w:rsid w:val="00061DAA"/>
    <w:rsid w:val="0006215C"/>
    <w:rsid w:val="00062229"/>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07C"/>
    <w:rsid w:val="00064173"/>
    <w:rsid w:val="0006423C"/>
    <w:rsid w:val="000642F5"/>
    <w:rsid w:val="000644EF"/>
    <w:rsid w:val="00064572"/>
    <w:rsid w:val="000646ED"/>
    <w:rsid w:val="00064877"/>
    <w:rsid w:val="0006493F"/>
    <w:rsid w:val="00064AC1"/>
    <w:rsid w:val="00064B1A"/>
    <w:rsid w:val="00064BE3"/>
    <w:rsid w:val="00064CB0"/>
    <w:rsid w:val="00064EDD"/>
    <w:rsid w:val="000652C9"/>
    <w:rsid w:val="00065413"/>
    <w:rsid w:val="00065488"/>
    <w:rsid w:val="00065541"/>
    <w:rsid w:val="000655EF"/>
    <w:rsid w:val="00065731"/>
    <w:rsid w:val="000658AE"/>
    <w:rsid w:val="000658C2"/>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5E7"/>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31D"/>
    <w:rsid w:val="00071516"/>
    <w:rsid w:val="0007160F"/>
    <w:rsid w:val="0007164B"/>
    <w:rsid w:val="000716DD"/>
    <w:rsid w:val="000719EC"/>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4F2E"/>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29"/>
    <w:rsid w:val="00077E6F"/>
    <w:rsid w:val="00077FB5"/>
    <w:rsid w:val="00077FFC"/>
    <w:rsid w:val="0008023D"/>
    <w:rsid w:val="000803FA"/>
    <w:rsid w:val="00080476"/>
    <w:rsid w:val="00080540"/>
    <w:rsid w:val="00080BA3"/>
    <w:rsid w:val="00080D36"/>
    <w:rsid w:val="00080DED"/>
    <w:rsid w:val="00080E6D"/>
    <w:rsid w:val="0008100E"/>
    <w:rsid w:val="00081103"/>
    <w:rsid w:val="00081B3F"/>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AA9"/>
    <w:rsid w:val="00083DBE"/>
    <w:rsid w:val="00083E61"/>
    <w:rsid w:val="00083E64"/>
    <w:rsid w:val="000841BA"/>
    <w:rsid w:val="00084334"/>
    <w:rsid w:val="0008435F"/>
    <w:rsid w:val="000843D9"/>
    <w:rsid w:val="000843F0"/>
    <w:rsid w:val="0008440F"/>
    <w:rsid w:val="000844D1"/>
    <w:rsid w:val="00084514"/>
    <w:rsid w:val="000845CC"/>
    <w:rsid w:val="00084631"/>
    <w:rsid w:val="0008464B"/>
    <w:rsid w:val="00084920"/>
    <w:rsid w:val="0008494A"/>
    <w:rsid w:val="00084B7F"/>
    <w:rsid w:val="00084F0C"/>
    <w:rsid w:val="00085088"/>
    <w:rsid w:val="0008518C"/>
    <w:rsid w:val="000851C5"/>
    <w:rsid w:val="000851C9"/>
    <w:rsid w:val="00085394"/>
    <w:rsid w:val="000855F9"/>
    <w:rsid w:val="00085A3B"/>
    <w:rsid w:val="00085DF3"/>
    <w:rsid w:val="00085E11"/>
    <w:rsid w:val="000861E1"/>
    <w:rsid w:val="000863D2"/>
    <w:rsid w:val="0008642A"/>
    <w:rsid w:val="000864CA"/>
    <w:rsid w:val="0008667C"/>
    <w:rsid w:val="000867E2"/>
    <w:rsid w:val="00086872"/>
    <w:rsid w:val="00086906"/>
    <w:rsid w:val="00086A4E"/>
    <w:rsid w:val="00086B96"/>
    <w:rsid w:val="00086D57"/>
    <w:rsid w:val="00086D9C"/>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0D"/>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CD7"/>
    <w:rsid w:val="00092DCD"/>
    <w:rsid w:val="00092FC2"/>
    <w:rsid w:val="00093236"/>
    <w:rsid w:val="000932E9"/>
    <w:rsid w:val="000932F0"/>
    <w:rsid w:val="00093481"/>
    <w:rsid w:val="00093A2E"/>
    <w:rsid w:val="00093B23"/>
    <w:rsid w:val="00093B7D"/>
    <w:rsid w:val="00093CC7"/>
    <w:rsid w:val="00093E22"/>
    <w:rsid w:val="00093E55"/>
    <w:rsid w:val="00093EBF"/>
    <w:rsid w:val="0009405B"/>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4"/>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3B"/>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AB3"/>
    <w:rsid w:val="000A3C96"/>
    <w:rsid w:val="000A3CBB"/>
    <w:rsid w:val="000A3E35"/>
    <w:rsid w:val="000A3F87"/>
    <w:rsid w:val="000A3FBA"/>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254"/>
    <w:rsid w:val="000A53F1"/>
    <w:rsid w:val="000A562D"/>
    <w:rsid w:val="000A583E"/>
    <w:rsid w:val="000A58F0"/>
    <w:rsid w:val="000A5945"/>
    <w:rsid w:val="000A5E54"/>
    <w:rsid w:val="000A60C8"/>
    <w:rsid w:val="000A6242"/>
    <w:rsid w:val="000A63C8"/>
    <w:rsid w:val="000A67F9"/>
    <w:rsid w:val="000A689E"/>
    <w:rsid w:val="000A6B16"/>
    <w:rsid w:val="000A6BCE"/>
    <w:rsid w:val="000A6CBD"/>
    <w:rsid w:val="000A6D65"/>
    <w:rsid w:val="000A6D91"/>
    <w:rsid w:val="000A6F5D"/>
    <w:rsid w:val="000A70FC"/>
    <w:rsid w:val="000A715F"/>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22"/>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2FFE"/>
    <w:rsid w:val="000B30E2"/>
    <w:rsid w:val="000B3211"/>
    <w:rsid w:val="000B34DA"/>
    <w:rsid w:val="000B3769"/>
    <w:rsid w:val="000B3933"/>
    <w:rsid w:val="000B39CC"/>
    <w:rsid w:val="000B3A46"/>
    <w:rsid w:val="000B3B8D"/>
    <w:rsid w:val="000B3E59"/>
    <w:rsid w:val="000B41AB"/>
    <w:rsid w:val="000B42C7"/>
    <w:rsid w:val="000B42E6"/>
    <w:rsid w:val="000B45AB"/>
    <w:rsid w:val="000B46AA"/>
    <w:rsid w:val="000B48A6"/>
    <w:rsid w:val="000B48EE"/>
    <w:rsid w:val="000B4955"/>
    <w:rsid w:val="000B4AF0"/>
    <w:rsid w:val="000B4B4A"/>
    <w:rsid w:val="000B4E1C"/>
    <w:rsid w:val="000B4E54"/>
    <w:rsid w:val="000B501C"/>
    <w:rsid w:val="000B51A9"/>
    <w:rsid w:val="000B5210"/>
    <w:rsid w:val="000B5287"/>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7E9"/>
    <w:rsid w:val="000C294A"/>
    <w:rsid w:val="000C2E21"/>
    <w:rsid w:val="000C2EA1"/>
    <w:rsid w:val="000C32DE"/>
    <w:rsid w:val="000C3397"/>
    <w:rsid w:val="000C33B0"/>
    <w:rsid w:val="000C33FE"/>
    <w:rsid w:val="000C36BC"/>
    <w:rsid w:val="000C3AAA"/>
    <w:rsid w:val="000C3CFA"/>
    <w:rsid w:val="000C3DB4"/>
    <w:rsid w:val="000C3E15"/>
    <w:rsid w:val="000C3E64"/>
    <w:rsid w:val="000C3F77"/>
    <w:rsid w:val="000C40AE"/>
    <w:rsid w:val="000C42DD"/>
    <w:rsid w:val="000C44D1"/>
    <w:rsid w:val="000C4706"/>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9F5"/>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791"/>
    <w:rsid w:val="000D5A1A"/>
    <w:rsid w:val="000D5B46"/>
    <w:rsid w:val="000D5B8A"/>
    <w:rsid w:val="000D60C6"/>
    <w:rsid w:val="000D6219"/>
    <w:rsid w:val="000D62A7"/>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59E"/>
    <w:rsid w:val="000E06E6"/>
    <w:rsid w:val="000E0758"/>
    <w:rsid w:val="000E07E6"/>
    <w:rsid w:val="000E0E20"/>
    <w:rsid w:val="000E0ED6"/>
    <w:rsid w:val="000E11D8"/>
    <w:rsid w:val="000E122E"/>
    <w:rsid w:val="000E125A"/>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ADC"/>
    <w:rsid w:val="000E4CB4"/>
    <w:rsid w:val="000E4E8B"/>
    <w:rsid w:val="000E4FB5"/>
    <w:rsid w:val="000E50A8"/>
    <w:rsid w:val="000E558F"/>
    <w:rsid w:val="000E561F"/>
    <w:rsid w:val="000E569B"/>
    <w:rsid w:val="000E56CA"/>
    <w:rsid w:val="000E5A15"/>
    <w:rsid w:val="000E5A4D"/>
    <w:rsid w:val="000E5B1A"/>
    <w:rsid w:val="000E5BDB"/>
    <w:rsid w:val="000E5D66"/>
    <w:rsid w:val="000E5D6F"/>
    <w:rsid w:val="000E5EA1"/>
    <w:rsid w:val="000E5EBD"/>
    <w:rsid w:val="000E5F59"/>
    <w:rsid w:val="000E6187"/>
    <w:rsid w:val="000E61C7"/>
    <w:rsid w:val="000E6613"/>
    <w:rsid w:val="000E6799"/>
    <w:rsid w:val="000E6846"/>
    <w:rsid w:val="000E6C35"/>
    <w:rsid w:val="000E73AD"/>
    <w:rsid w:val="000E7713"/>
    <w:rsid w:val="000E78E0"/>
    <w:rsid w:val="000E7968"/>
    <w:rsid w:val="000E79F7"/>
    <w:rsid w:val="000E7A04"/>
    <w:rsid w:val="000E7AA3"/>
    <w:rsid w:val="000E7C81"/>
    <w:rsid w:val="000E7CB9"/>
    <w:rsid w:val="000E7ED2"/>
    <w:rsid w:val="000F025B"/>
    <w:rsid w:val="000F07B6"/>
    <w:rsid w:val="000F092E"/>
    <w:rsid w:val="000F0BBB"/>
    <w:rsid w:val="000F0BC7"/>
    <w:rsid w:val="000F0C8D"/>
    <w:rsid w:val="000F0E22"/>
    <w:rsid w:val="000F0EAB"/>
    <w:rsid w:val="000F1073"/>
    <w:rsid w:val="000F1087"/>
    <w:rsid w:val="000F109B"/>
    <w:rsid w:val="000F1675"/>
    <w:rsid w:val="000F181E"/>
    <w:rsid w:val="000F182E"/>
    <w:rsid w:val="000F18BF"/>
    <w:rsid w:val="000F18D2"/>
    <w:rsid w:val="000F1BAA"/>
    <w:rsid w:val="000F1FC4"/>
    <w:rsid w:val="000F2041"/>
    <w:rsid w:val="000F2174"/>
    <w:rsid w:val="000F21AE"/>
    <w:rsid w:val="000F2569"/>
    <w:rsid w:val="000F25F3"/>
    <w:rsid w:val="000F2652"/>
    <w:rsid w:val="000F2688"/>
    <w:rsid w:val="000F2800"/>
    <w:rsid w:val="000F28BF"/>
    <w:rsid w:val="000F2C79"/>
    <w:rsid w:val="000F2D9B"/>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BFD"/>
    <w:rsid w:val="000F4DC3"/>
    <w:rsid w:val="000F4EAA"/>
    <w:rsid w:val="000F5047"/>
    <w:rsid w:val="000F50FA"/>
    <w:rsid w:val="000F5348"/>
    <w:rsid w:val="000F54A4"/>
    <w:rsid w:val="000F550A"/>
    <w:rsid w:val="000F5610"/>
    <w:rsid w:val="000F57ED"/>
    <w:rsid w:val="000F59C0"/>
    <w:rsid w:val="000F5A1B"/>
    <w:rsid w:val="000F5D37"/>
    <w:rsid w:val="000F5EE5"/>
    <w:rsid w:val="000F622C"/>
    <w:rsid w:val="000F663F"/>
    <w:rsid w:val="000F689B"/>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28C"/>
    <w:rsid w:val="00100404"/>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3E3"/>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7C"/>
    <w:rsid w:val="00104CD8"/>
    <w:rsid w:val="00104CE9"/>
    <w:rsid w:val="00104D7D"/>
    <w:rsid w:val="00104EBC"/>
    <w:rsid w:val="00104FC5"/>
    <w:rsid w:val="001050C5"/>
    <w:rsid w:val="001051C3"/>
    <w:rsid w:val="001053B5"/>
    <w:rsid w:val="00105481"/>
    <w:rsid w:val="001055D6"/>
    <w:rsid w:val="0010564F"/>
    <w:rsid w:val="001057FE"/>
    <w:rsid w:val="001058AA"/>
    <w:rsid w:val="00105B23"/>
    <w:rsid w:val="00105D34"/>
    <w:rsid w:val="00105D36"/>
    <w:rsid w:val="00105E3E"/>
    <w:rsid w:val="00105E5E"/>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2"/>
    <w:rsid w:val="001108DA"/>
    <w:rsid w:val="001108FB"/>
    <w:rsid w:val="00110973"/>
    <w:rsid w:val="00110BB8"/>
    <w:rsid w:val="00110CE9"/>
    <w:rsid w:val="00110EE1"/>
    <w:rsid w:val="001110EC"/>
    <w:rsid w:val="001114B8"/>
    <w:rsid w:val="001119E6"/>
    <w:rsid w:val="00111BC1"/>
    <w:rsid w:val="00111C83"/>
    <w:rsid w:val="00111D05"/>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5B"/>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55"/>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427"/>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756"/>
    <w:rsid w:val="00126801"/>
    <w:rsid w:val="00126832"/>
    <w:rsid w:val="0012697C"/>
    <w:rsid w:val="00126B9D"/>
    <w:rsid w:val="00126BF7"/>
    <w:rsid w:val="00126E39"/>
    <w:rsid w:val="00126F79"/>
    <w:rsid w:val="00127334"/>
    <w:rsid w:val="001274DF"/>
    <w:rsid w:val="00127845"/>
    <w:rsid w:val="0012785D"/>
    <w:rsid w:val="00127E80"/>
    <w:rsid w:val="0013006A"/>
    <w:rsid w:val="0013009B"/>
    <w:rsid w:val="0013068C"/>
    <w:rsid w:val="001308C3"/>
    <w:rsid w:val="0013091C"/>
    <w:rsid w:val="00130972"/>
    <w:rsid w:val="00130AD1"/>
    <w:rsid w:val="00130C48"/>
    <w:rsid w:val="00130C8A"/>
    <w:rsid w:val="00130D29"/>
    <w:rsid w:val="00130EF0"/>
    <w:rsid w:val="00130F76"/>
    <w:rsid w:val="00131157"/>
    <w:rsid w:val="00131277"/>
    <w:rsid w:val="001312D1"/>
    <w:rsid w:val="001313CA"/>
    <w:rsid w:val="00131565"/>
    <w:rsid w:val="0013156C"/>
    <w:rsid w:val="0013159C"/>
    <w:rsid w:val="001315B0"/>
    <w:rsid w:val="001317DE"/>
    <w:rsid w:val="00131814"/>
    <w:rsid w:val="001318C5"/>
    <w:rsid w:val="001318CF"/>
    <w:rsid w:val="00131A86"/>
    <w:rsid w:val="00131AA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17"/>
    <w:rsid w:val="00134528"/>
    <w:rsid w:val="00134838"/>
    <w:rsid w:val="0013495E"/>
    <w:rsid w:val="00134A9D"/>
    <w:rsid w:val="00134E7A"/>
    <w:rsid w:val="00134EAC"/>
    <w:rsid w:val="0013516E"/>
    <w:rsid w:val="0013518A"/>
    <w:rsid w:val="001353A4"/>
    <w:rsid w:val="00135536"/>
    <w:rsid w:val="0013555E"/>
    <w:rsid w:val="0013578A"/>
    <w:rsid w:val="001358C5"/>
    <w:rsid w:val="00135A84"/>
    <w:rsid w:val="00135B09"/>
    <w:rsid w:val="00135B2C"/>
    <w:rsid w:val="00135DD2"/>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508"/>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C12"/>
    <w:rsid w:val="00141DD6"/>
    <w:rsid w:val="00141EF7"/>
    <w:rsid w:val="00141FF5"/>
    <w:rsid w:val="001420BF"/>
    <w:rsid w:val="00142348"/>
    <w:rsid w:val="00142363"/>
    <w:rsid w:val="00142515"/>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97"/>
    <w:rsid w:val="00143DC2"/>
    <w:rsid w:val="00144164"/>
    <w:rsid w:val="001441CC"/>
    <w:rsid w:val="0014436C"/>
    <w:rsid w:val="001445F0"/>
    <w:rsid w:val="00144830"/>
    <w:rsid w:val="00144903"/>
    <w:rsid w:val="001449BE"/>
    <w:rsid w:val="00144AA6"/>
    <w:rsid w:val="00144AF9"/>
    <w:rsid w:val="00144C54"/>
    <w:rsid w:val="00144C56"/>
    <w:rsid w:val="00144D52"/>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93A"/>
    <w:rsid w:val="00150A58"/>
    <w:rsid w:val="00150BA1"/>
    <w:rsid w:val="00150DBA"/>
    <w:rsid w:val="00150E47"/>
    <w:rsid w:val="00150E94"/>
    <w:rsid w:val="00150EAD"/>
    <w:rsid w:val="00150FD5"/>
    <w:rsid w:val="00151401"/>
    <w:rsid w:val="0015155A"/>
    <w:rsid w:val="0015179C"/>
    <w:rsid w:val="00151C9E"/>
    <w:rsid w:val="00151D49"/>
    <w:rsid w:val="00151D83"/>
    <w:rsid w:val="0015210B"/>
    <w:rsid w:val="00152277"/>
    <w:rsid w:val="00152396"/>
    <w:rsid w:val="00152487"/>
    <w:rsid w:val="00152608"/>
    <w:rsid w:val="001526A2"/>
    <w:rsid w:val="00152822"/>
    <w:rsid w:val="0015289D"/>
    <w:rsid w:val="00152A41"/>
    <w:rsid w:val="00152C2D"/>
    <w:rsid w:val="00152C45"/>
    <w:rsid w:val="00152E30"/>
    <w:rsid w:val="00153551"/>
    <w:rsid w:val="00153B2C"/>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53E"/>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BE9"/>
    <w:rsid w:val="00160BFE"/>
    <w:rsid w:val="00160DF5"/>
    <w:rsid w:val="00160EEA"/>
    <w:rsid w:val="00160F52"/>
    <w:rsid w:val="00161131"/>
    <w:rsid w:val="00161233"/>
    <w:rsid w:val="00161267"/>
    <w:rsid w:val="001612E6"/>
    <w:rsid w:val="001613C5"/>
    <w:rsid w:val="001613F4"/>
    <w:rsid w:val="00161480"/>
    <w:rsid w:val="00161848"/>
    <w:rsid w:val="00161851"/>
    <w:rsid w:val="00161924"/>
    <w:rsid w:val="00161C55"/>
    <w:rsid w:val="00161D65"/>
    <w:rsid w:val="00161FCA"/>
    <w:rsid w:val="0016216F"/>
    <w:rsid w:val="0016244C"/>
    <w:rsid w:val="001625FE"/>
    <w:rsid w:val="0016271A"/>
    <w:rsid w:val="0016276E"/>
    <w:rsid w:val="00162CB7"/>
    <w:rsid w:val="00162F03"/>
    <w:rsid w:val="00162F81"/>
    <w:rsid w:val="001631EA"/>
    <w:rsid w:val="0016336E"/>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D4D"/>
    <w:rsid w:val="00166ED1"/>
    <w:rsid w:val="001672F5"/>
    <w:rsid w:val="001676F8"/>
    <w:rsid w:val="00167915"/>
    <w:rsid w:val="0016797F"/>
    <w:rsid w:val="001679FD"/>
    <w:rsid w:val="00167BA5"/>
    <w:rsid w:val="00167F21"/>
    <w:rsid w:val="00167FBA"/>
    <w:rsid w:val="001701FD"/>
    <w:rsid w:val="0017029E"/>
    <w:rsid w:val="001702E2"/>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E10"/>
    <w:rsid w:val="00173FC0"/>
    <w:rsid w:val="0017423E"/>
    <w:rsid w:val="0017426D"/>
    <w:rsid w:val="001742C6"/>
    <w:rsid w:val="00174403"/>
    <w:rsid w:val="00174424"/>
    <w:rsid w:val="00174588"/>
    <w:rsid w:val="00174AC6"/>
    <w:rsid w:val="00174CC9"/>
    <w:rsid w:val="00174ED1"/>
    <w:rsid w:val="00174EF1"/>
    <w:rsid w:val="001751EC"/>
    <w:rsid w:val="001752AB"/>
    <w:rsid w:val="001753C4"/>
    <w:rsid w:val="0017594E"/>
    <w:rsid w:val="00175ACB"/>
    <w:rsid w:val="00175B59"/>
    <w:rsid w:val="00175C35"/>
    <w:rsid w:val="00175E8E"/>
    <w:rsid w:val="0017601C"/>
    <w:rsid w:val="00176161"/>
    <w:rsid w:val="00176229"/>
    <w:rsid w:val="00176267"/>
    <w:rsid w:val="00176BD6"/>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5F6"/>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688"/>
    <w:rsid w:val="00184A19"/>
    <w:rsid w:val="00184A99"/>
    <w:rsid w:val="00184B02"/>
    <w:rsid w:val="00184B1D"/>
    <w:rsid w:val="00184BD6"/>
    <w:rsid w:val="00184EF7"/>
    <w:rsid w:val="0018515C"/>
    <w:rsid w:val="00185306"/>
    <w:rsid w:val="00185D53"/>
    <w:rsid w:val="00185F31"/>
    <w:rsid w:val="001860A0"/>
    <w:rsid w:val="001860A1"/>
    <w:rsid w:val="001862E8"/>
    <w:rsid w:val="00186389"/>
    <w:rsid w:val="001864A6"/>
    <w:rsid w:val="001869FF"/>
    <w:rsid w:val="00186DF4"/>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207E"/>
    <w:rsid w:val="00192184"/>
    <w:rsid w:val="00192228"/>
    <w:rsid w:val="0019227A"/>
    <w:rsid w:val="00192334"/>
    <w:rsid w:val="0019264E"/>
    <w:rsid w:val="00192868"/>
    <w:rsid w:val="00192873"/>
    <w:rsid w:val="00192881"/>
    <w:rsid w:val="00192A7A"/>
    <w:rsid w:val="00192BEE"/>
    <w:rsid w:val="00192C6B"/>
    <w:rsid w:val="00192CA0"/>
    <w:rsid w:val="001931AB"/>
    <w:rsid w:val="00193539"/>
    <w:rsid w:val="00193C48"/>
    <w:rsid w:val="00193E6F"/>
    <w:rsid w:val="00193ED0"/>
    <w:rsid w:val="00194087"/>
    <w:rsid w:val="001942B4"/>
    <w:rsid w:val="001944F3"/>
    <w:rsid w:val="001945AE"/>
    <w:rsid w:val="00194775"/>
    <w:rsid w:val="00194A53"/>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D71"/>
    <w:rsid w:val="00196E13"/>
    <w:rsid w:val="00196FD0"/>
    <w:rsid w:val="00197134"/>
    <w:rsid w:val="00197205"/>
    <w:rsid w:val="0019734A"/>
    <w:rsid w:val="001974EC"/>
    <w:rsid w:val="00197717"/>
    <w:rsid w:val="001977C8"/>
    <w:rsid w:val="00197961"/>
    <w:rsid w:val="00197C01"/>
    <w:rsid w:val="00197C1F"/>
    <w:rsid w:val="00197C7B"/>
    <w:rsid w:val="00197CAF"/>
    <w:rsid w:val="00197D95"/>
    <w:rsid w:val="00197E2F"/>
    <w:rsid w:val="00197EDB"/>
    <w:rsid w:val="001A016D"/>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7F"/>
    <w:rsid w:val="001A48EE"/>
    <w:rsid w:val="001A4C74"/>
    <w:rsid w:val="001A5547"/>
    <w:rsid w:val="001A55F9"/>
    <w:rsid w:val="001A5774"/>
    <w:rsid w:val="001A57B9"/>
    <w:rsid w:val="001A57E7"/>
    <w:rsid w:val="001A59EA"/>
    <w:rsid w:val="001A5AD8"/>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BE"/>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468"/>
    <w:rsid w:val="001B258F"/>
    <w:rsid w:val="001B25CE"/>
    <w:rsid w:val="001B28FC"/>
    <w:rsid w:val="001B293A"/>
    <w:rsid w:val="001B2A8C"/>
    <w:rsid w:val="001B2AB6"/>
    <w:rsid w:val="001B2C08"/>
    <w:rsid w:val="001B2C2B"/>
    <w:rsid w:val="001B2E83"/>
    <w:rsid w:val="001B2F86"/>
    <w:rsid w:val="001B2FCB"/>
    <w:rsid w:val="001B3060"/>
    <w:rsid w:val="001B31CB"/>
    <w:rsid w:val="001B3340"/>
    <w:rsid w:val="001B348C"/>
    <w:rsid w:val="001B34B5"/>
    <w:rsid w:val="001B34C9"/>
    <w:rsid w:val="001B356B"/>
    <w:rsid w:val="001B36B6"/>
    <w:rsid w:val="001B38ED"/>
    <w:rsid w:val="001B39F5"/>
    <w:rsid w:val="001B3A5D"/>
    <w:rsid w:val="001B3D7B"/>
    <w:rsid w:val="001B3E18"/>
    <w:rsid w:val="001B3EA1"/>
    <w:rsid w:val="001B3F42"/>
    <w:rsid w:val="001B4028"/>
    <w:rsid w:val="001B415E"/>
    <w:rsid w:val="001B4373"/>
    <w:rsid w:val="001B45C7"/>
    <w:rsid w:val="001B4730"/>
    <w:rsid w:val="001B48A0"/>
    <w:rsid w:val="001B49A6"/>
    <w:rsid w:val="001B5065"/>
    <w:rsid w:val="001B511A"/>
    <w:rsid w:val="001B5125"/>
    <w:rsid w:val="001B528B"/>
    <w:rsid w:val="001B57B0"/>
    <w:rsid w:val="001B58B7"/>
    <w:rsid w:val="001B5C8B"/>
    <w:rsid w:val="001B5CA0"/>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6F1F"/>
    <w:rsid w:val="001B7072"/>
    <w:rsid w:val="001B7368"/>
    <w:rsid w:val="001B7B04"/>
    <w:rsid w:val="001B7BB3"/>
    <w:rsid w:val="001B7BE3"/>
    <w:rsid w:val="001B7CA3"/>
    <w:rsid w:val="001B7D18"/>
    <w:rsid w:val="001B7F77"/>
    <w:rsid w:val="001C006E"/>
    <w:rsid w:val="001C0095"/>
    <w:rsid w:val="001C014C"/>
    <w:rsid w:val="001C01AE"/>
    <w:rsid w:val="001C01DF"/>
    <w:rsid w:val="001C022C"/>
    <w:rsid w:val="001C0255"/>
    <w:rsid w:val="001C0439"/>
    <w:rsid w:val="001C054F"/>
    <w:rsid w:val="001C062B"/>
    <w:rsid w:val="001C0672"/>
    <w:rsid w:val="001C08D1"/>
    <w:rsid w:val="001C0B38"/>
    <w:rsid w:val="001C0E5A"/>
    <w:rsid w:val="001C0F14"/>
    <w:rsid w:val="001C0FE8"/>
    <w:rsid w:val="001C111C"/>
    <w:rsid w:val="001C1953"/>
    <w:rsid w:val="001C1982"/>
    <w:rsid w:val="001C19BE"/>
    <w:rsid w:val="001C19C6"/>
    <w:rsid w:val="001C1D33"/>
    <w:rsid w:val="001C1DBC"/>
    <w:rsid w:val="001C1E43"/>
    <w:rsid w:val="001C2152"/>
    <w:rsid w:val="001C24EE"/>
    <w:rsid w:val="001C280C"/>
    <w:rsid w:val="001C2AB9"/>
    <w:rsid w:val="001C2B2C"/>
    <w:rsid w:val="001C2CC0"/>
    <w:rsid w:val="001C2CE4"/>
    <w:rsid w:val="001C2D0E"/>
    <w:rsid w:val="001C2D1D"/>
    <w:rsid w:val="001C2D99"/>
    <w:rsid w:val="001C2DD3"/>
    <w:rsid w:val="001C2E1C"/>
    <w:rsid w:val="001C2FE4"/>
    <w:rsid w:val="001C3022"/>
    <w:rsid w:val="001C30D5"/>
    <w:rsid w:val="001C3254"/>
    <w:rsid w:val="001C335A"/>
    <w:rsid w:val="001C371B"/>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8A1"/>
    <w:rsid w:val="001C4A8B"/>
    <w:rsid w:val="001C4F61"/>
    <w:rsid w:val="001C5380"/>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ACA"/>
    <w:rsid w:val="001D1B1C"/>
    <w:rsid w:val="001D1B45"/>
    <w:rsid w:val="001D1BAE"/>
    <w:rsid w:val="001D1C29"/>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26"/>
    <w:rsid w:val="001D4E82"/>
    <w:rsid w:val="001D4F87"/>
    <w:rsid w:val="001D4FA8"/>
    <w:rsid w:val="001D504E"/>
    <w:rsid w:val="001D5394"/>
    <w:rsid w:val="001D54F0"/>
    <w:rsid w:val="001D551D"/>
    <w:rsid w:val="001D577C"/>
    <w:rsid w:val="001D581A"/>
    <w:rsid w:val="001D5854"/>
    <w:rsid w:val="001D5A7E"/>
    <w:rsid w:val="001D5B13"/>
    <w:rsid w:val="001D5FC3"/>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14B"/>
    <w:rsid w:val="001D7306"/>
    <w:rsid w:val="001D7B4B"/>
    <w:rsid w:val="001D7BB8"/>
    <w:rsid w:val="001D7C5C"/>
    <w:rsid w:val="001E0026"/>
    <w:rsid w:val="001E0179"/>
    <w:rsid w:val="001E01F7"/>
    <w:rsid w:val="001E0311"/>
    <w:rsid w:val="001E0518"/>
    <w:rsid w:val="001E05AA"/>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D98"/>
    <w:rsid w:val="001E1E5B"/>
    <w:rsid w:val="001E1E66"/>
    <w:rsid w:val="001E2219"/>
    <w:rsid w:val="001E2288"/>
    <w:rsid w:val="001E24E2"/>
    <w:rsid w:val="001E24F3"/>
    <w:rsid w:val="001E2527"/>
    <w:rsid w:val="001E26CF"/>
    <w:rsid w:val="001E28CA"/>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B38"/>
    <w:rsid w:val="001E3E96"/>
    <w:rsid w:val="001E40B9"/>
    <w:rsid w:val="001E40CC"/>
    <w:rsid w:val="001E413C"/>
    <w:rsid w:val="001E41F3"/>
    <w:rsid w:val="001E4840"/>
    <w:rsid w:val="001E48A3"/>
    <w:rsid w:val="001E4AA3"/>
    <w:rsid w:val="001E50E2"/>
    <w:rsid w:val="001E51FD"/>
    <w:rsid w:val="001E58DD"/>
    <w:rsid w:val="001E5ADC"/>
    <w:rsid w:val="001E5BAD"/>
    <w:rsid w:val="001E6065"/>
    <w:rsid w:val="001E6078"/>
    <w:rsid w:val="001E62B6"/>
    <w:rsid w:val="001E6301"/>
    <w:rsid w:val="001E6312"/>
    <w:rsid w:val="001E634A"/>
    <w:rsid w:val="001E63B8"/>
    <w:rsid w:val="001E6789"/>
    <w:rsid w:val="001E67C2"/>
    <w:rsid w:val="001E690F"/>
    <w:rsid w:val="001E69F0"/>
    <w:rsid w:val="001E6D45"/>
    <w:rsid w:val="001E6DC5"/>
    <w:rsid w:val="001E6EDF"/>
    <w:rsid w:val="001E706F"/>
    <w:rsid w:val="001E71E4"/>
    <w:rsid w:val="001E7337"/>
    <w:rsid w:val="001E7450"/>
    <w:rsid w:val="001E7511"/>
    <w:rsid w:val="001E7BA1"/>
    <w:rsid w:val="001E7D40"/>
    <w:rsid w:val="001E7D6F"/>
    <w:rsid w:val="001E7D92"/>
    <w:rsid w:val="001E7DC9"/>
    <w:rsid w:val="001E7DE9"/>
    <w:rsid w:val="001F0073"/>
    <w:rsid w:val="001F010E"/>
    <w:rsid w:val="001F014A"/>
    <w:rsid w:val="001F0201"/>
    <w:rsid w:val="001F032C"/>
    <w:rsid w:val="001F05F2"/>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D21"/>
    <w:rsid w:val="001F2ECB"/>
    <w:rsid w:val="001F301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56"/>
    <w:rsid w:val="001F47B3"/>
    <w:rsid w:val="001F49DB"/>
    <w:rsid w:val="001F4AED"/>
    <w:rsid w:val="001F55A5"/>
    <w:rsid w:val="001F5707"/>
    <w:rsid w:val="001F579F"/>
    <w:rsid w:val="001F5963"/>
    <w:rsid w:val="001F5AB5"/>
    <w:rsid w:val="001F5B17"/>
    <w:rsid w:val="001F5B85"/>
    <w:rsid w:val="001F5C1B"/>
    <w:rsid w:val="001F5C1D"/>
    <w:rsid w:val="001F5C69"/>
    <w:rsid w:val="001F6117"/>
    <w:rsid w:val="001F61DF"/>
    <w:rsid w:val="001F6245"/>
    <w:rsid w:val="001F6330"/>
    <w:rsid w:val="001F6369"/>
    <w:rsid w:val="001F6764"/>
    <w:rsid w:val="001F68CB"/>
    <w:rsid w:val="001F6BF4"/>
    <w:rsid w:val="001F6F17"/>
    <w:rsid w:val="001F71B0"/>
    <w:rsid w:val="001F71D3"/>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5E5"/>
    <w:rsid w:val="00200733"/>
    <w:rsid w:val="002008BD"/>
    <w:rsid w:val="0020093B"/>
    <w:rsid w:val="00200982"/>
    <w:rsid w:val="002009F9"/>
    <w:rsid w:val="00200A49"/>
    <w:rsid w:val="00200BCE"/>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E6D"/>
    <w:rsid w:val="00202F4B"/>
    <w:rsid w:val="002032B1"/>
    <w:rsid w:val="00203359"/>
    <w:rsid w:val="0020375C"/>
    <w:rsid w:val="00203AAF"/>
    <w:rsid w:val="00203C22"/>
    <w:rsid w:val="00203DF6"/>
    <w:rsid w:val="00203FEF"/>
    <w:rsid w:val="002042A1"/>
    <w:rsid w:val="002043B1"/>
    <w:rsid w:val="0020476B"/>
    <w:rsid w:val="00204787"/>
    <w:rsid w:val="00204B59"/>
    <w:rsid w:val="00204B7A"/>
    <w:rsid w:val="00204FF3"/>
    <w:rsid w:val="00205294"/>
    <w:rsid w:val="002052F9"/>
    <w:rsid w:val="00205365"/>
    <w:rsid w:val="002053DA"/>
    <w:rsid w:val="0020540C"/>
    <w:rsid w:val="002054F9"/>
    <w:rsid w:val="00205512"/>
    <w:rsid w:val="0020578A"/>
    <w:rsid w:val="00205815"/>
    <w:rsid w:val="0020587A"/>
    <w:rsid w:val="00205A54"/>
    <w:rsid w:val="00205B9C"/>
    <w:rsid w:val="00205D79"/>
    <w:rsid w:val="00205DDB"/>
    <w:rsid w:val="00205E3C"/>
    <w:rsid w:val="00205F8A"/>
    <w:rsid w:val="00206268"/>
    <w:rsid w:val="002063ED"/>
    <w:rsid w:val="00206464"/>
    <w:rsid w:val="00206603"/>
    <w:rsid w:val="002066D6"/>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44B"/>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ACE"/>
    <w:rsid w:val="00214C93"/>
    <w:rsid w:val="00214E65"/>
    <w:rsid w:val="00214F39"/>
    <w:rsid w:val="00215066"/>
    <w:rsid w:val="00215175"/>
    <w:rsid w:val="00215201"/>
    <w:rsid w:val="00215269"/>
    <w:rsid w:val="0021539D"/>
    <w:rsid w:val="0021554D"/>
    <w:rsid w:val="00215A0A"/>
    <w:rsid w:val="00215ABC"/>
    <w:rsid w:val="00215ADA"/>
    <w:rsid w:val="00215B16"/>
    <w:rsid w:val="00215DAF"/>
    <w:rsid w:val="00215EDE"/>
    <w:rsid w:val="00216035"/>
    <w:rsid w:val="002161C8"/>
    <w:rsid w:val="002161FE"/>
    <w:rsid w:val="00216399"/>
    <w:rsid w:val="0021645C"/>
    <w:rsid w:val="00216604"/>
    <w:rsid w:val="00216769"/>
    <w:rsid w:val="00216781"/>
    <w:rsid w:val="002168C6"/>
    <w:rsid w:val="00216915"/>
    <w:rsid w:val="00216ADB"/>
    <w:rsid w:val="00216DA6"/>
    <w:rsid w:val="00216FD5"/>
    <w:rsid w:val="00217097"/>
    <w:rsid w:val="002170DA"/>
    <w:rsid w:val="00217277"/>
    <w:rsid w:val="0021738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0A0"/>
    <w:rsid w:val="00221124"/>
    <w:rsid w:val="0022148B"/>
    <w:rsid w:val="002214AD"/>
    <w:rsid w:val="002214C5"/>
    <w:rsid w:val="002215F2"/>
    <w:rsid w:val="002216F7"/>
    <w:rsid w:val="0022182B"/>
    <w:rsid w:val="0022184D"/>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BC"/>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98"/>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7B"/>
    <w:rsid w:val="0023049E"/>
    <w:rsid w:val="0023059E"/>
    <w:rsid w:val="00230899"/>
    <w:rsid w:val="00230BA8"/>
    <w:rsid w:val="00230F93"/>
    <w:rsid w:val="002313BF"/>
    <w:rsid w:val="002313C9"/>
    <w:rsid w:val="00231627"/>
    <w:rsid w:val="00231651"/>
    <w:rsid w:val="00231761"/>
    <w:rsid w:val="0023192E"/>
    <w:rsid w:val="00231A3A"/>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DC9"/>
    <w:rsid w:val="00234E57"/>
    <w:rsid w:val="00234ED8"/>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01"/>
    <w:rsid w:val="00237A20"/>
    <w:rsid w:val="00237A73"/>
    <w:rsid w:val="00237A96"/>
    <w:rsid w:val="00237BC1"/>
    <w:rsid w:val="00237C27"/>
    <w:rsid w:val="00237EFA"/>
    <w:rsid w:val="00237F50"/>
    <w:rsid w:val="00237F5C"/>
    <w:rsid w:val="00237F72"/>
    <w:rsid w:val="00240118"/>
    <w:rsid w:val="0024012F"/>
    <w:rsid w:val="00240246"/>
    <w:rsid w:val="002407DF"/>
    <w:rsid w:val="00240833"/>
    <w:rsid w:val="00240947"/>
    <w:rsid w:val="00240B80"/>
    <w:rsid w:val="00240BB6"/>
    <w:rsid w:val="00240C17"/>
    <w:rsid w:val="002415B5"/>
    <w:rsid w:val="0024162B"/>
    <w:rsid w:val="00241973"/>
    <w:rsid w:val="00241984"/>
    <w:rsid w:val="00241A6D"/>
    <w:rsid w:val="00241AC1"/>
    <w:rsid w:val="00241AEB"/>
    <w:rsid w:val="00241BBD"/>
    <w:rsid w:val="00241BC5"/>
    <w:rsid w:val="00241FED"/>
    <w:rsid w:val="0024216B"/>
    <w:rsid w:val="002421BB"/>
    <w:rsid w:val="002423A2"/>
    <w:rsid w:val="002425DF"/>
    <w:rsid w:val="00242797"/>
    <w:rsid w:val="0024283C"/>
    <w:rsid w:val="00242867"/>
    <w:rsid w:val="00242910"/>
    <w:rsid w:val="00242AA3"/>
    <w:rsid w:val="00242F17"/>
    <w:rsid w:val="00242F3F"/>
    <w:rsid w:val="0024335F"/>
    <w:rsid w:val="002433BC"/>
    <w:rsid w:val="002433C1"/>
    <w:rsid w:val="002434AF"/>
    <w:rsid w:val="002435F2"/>
    <w:rsid w:val="002436BC"/>
    <w:rsid w:val="00243712"/>
    <w:rsid w:val="002437A0"/>
    <w:rsid w:val="002437D6"/>
    <w:rsid w:val="002439D2"/>
    <w:rsid w:val="00243B34"/>
    <w:rsid w:val="00243BC1"/>
    <w:rsid w:val="00243C5A"/>
    <w:rsid w:val="00243CAA"/>
    <w:rsid w:val="00243F76"/>
    <w:rsid w:val="00243FF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B23"/>
    <w:rsid w:val="00245DDF"/>
    <w:rsid w:val="00245DF3"/>
    <w:rsid w:val="00245E28"/>
    <w:rsid w:val="0024600E"/>
    <w:rsid w:val="002461D0"/>
    <w:rsid w:val="002465DA"/>
    <w:rsid w:val="002465EF"/>
    <w:rsid w:val="0024684B"/>
    <w:rsid w:val="002468C2"/>
    <w:rsid w:val="002469A8"/>
    <w:rsid w:val="002469BB"/>
    <w:rsid w:val="00246B2E"/>
    <w:rsid w:val="00246B34"/>
    <w:rsid w:val="00246BD0"/>
    <w:rsid w:val="00246CBC"/>
    <w:rsid w:val="00246CC3"/>
    <w:rsid w:val="00246DAF"/>
    <w:rsid w:val="00246DE8"/>
    <w:rsid w:val="00246F99"/>
    <w:rsid w:val="0024706B"/>
    <w:rsid w:val="002470DA"/>
    <w:rsid w:val="0024740E"/>
    <w:rsid w:val="00247413"/>
    <w:rsid w:val="002474EF"/>
    <w:rsid w:val="00247602"/>
    <w:rsid w:val="002477ED"/>
    <w:rsid w:val="00247998"/>
    <w:rsid w:val="002479C8"/>
    <w:rsid w:val="00247AD0"/>
    <w:rsid w:val="00247B65"/>
    <w:rsid w:val="00247C17"/>
    <w:rsid w:val="00247CCB"/>
    <w:rsid w:val="00247CD9"/>
    <w:rsid w:val="00247D49"/>
    <w:rsid w:val="00247D64"/>
    <w:rsid w:val="00247D6A"/>
    <w:rsid w:val="00247D81"/>
    <w:rsid w:val="00247DC8"/>
    <w:rsid w:val="002501CA"/>
    <w:rsid w:val="0025022A"/>
    <w:rsid w:val="00250532"/>
    <w:rsid w:val="0025075D"/>
    <w:rsid w:val="0025075E"/>
    <w:rsid w:val="00250790"/>
    <w:rsid w:val="00250854"/>
    <w:rsid w:val="00250932"/>
    <w:rsid w:val="00250A86"/>
    <w:rsid w:val="00250C68"/>
    <w:rsid w:val="00251023"/>
    <w:rsid w:val="00251025"/>
    <w:rsid w:val="00251107"/>
    <w:rsid w:val="00251228"/>
    <w:rsid w:val="002512E1"/>
    <w:rsid w:val="002515DB"/>
    <w:rsid w:val="002516A4"/>
    <w:rsid w:val="0025193E"/>
    <w:rsid w:val="0025196E"/>
    <w:rsid w:val="00251B95"/>
    <w:rsid w:val="00251C40"/>
    <w:rsid w:val="00251C5F"/>
    <w:rsid w:val="00252087"/>
    <w:rsid w:val="0025216C"/>
    <w:rsid w:val="00252198"/>
    <w:rsid w:val="0025228F"/>
    <w:rsid w:val="002522B8"/>
    <w:rsid w:val="00252332"/>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633"/>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12"/>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86"/>
    <w:rsid w:val="00261FD0"/>
    <w:rsid w:val="00261FDC"/>
    <w:rsid w:val="0026207C"/>
    <w:rsid w:val="00262272"/>
    <w:rsid w:val="00262389"/>
    <w:rsid w:val="002624A9"/>
    <w:rsid w:val="00262696"/>
    <w:rsid w:val="00262759"/>
    <w:rsid w:val="00262B27"/>
    <w:rsid w:val="00262C87"/>
    <w:rsid w:val="00262E07"/>
    <w:rsid w:val="002630B0"/>
    <w:rsid w:val="00263163"/>
    <w:rsid w:val="0026318A"/>
    <w:rsid w:val="002631E7"/>
    <w:rsid w:val="0026321A"/>
    <w:rsid w:val="002634A8"/>
    <w:rsid w:val="0026374E"/>
    <w:rsid w:val="00263779"/>
    <w:rsid w:val="00263793"/>
    <w:rsid w:val="002637BF"/>
    <w:rsid w:val="00263822"/>
    <w:rsid w:val="002639EC"/>
    <w:rsid w:val="00263B14"/>
    <w:rsid w:val="00263B27"/>
    <w:rsid w:val="00263CC3"/>
    <w:rsid w:val="00263E15"/>
    <w:rsid w:val="00263E7E"/>
    <w:rsid w:val="00263ED6"/>
    <w:rsid w:val="002641A2"/>
    <w:rsid w:val="0026421A"/>
    <w:rsid w:val="002643DE"/>
    <w:rsid w:val="00264452"/>
    <w:rsid w:val="00264483"/>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5F2B"/>
    <w:rsid w:val="00266102"/>
    <w:rsid w:val="002661CF"/>
    <w:rsid w:val="002662B0"/>
    <w:rsid w:val="00266428"/>
    <w:rsid w:val="002664D4"/>
    <w:rsid w:val="00266573"/>
    <w:rsid w:val="0026664A"/>
    <w:rsid w:val="002668E5"/>
    <w:rsid w:val="00266902"/>
    <w:rsid w:val="00266A49"/>
    <w:rsid w:val="00266A59"/>
    <w:rsid w:val="00266DE1"/>
    <w:rsid w:val="00266E61"/>
    <w:rsid w:val="00266E6B"/>
    <w:rsid w:val="00266EAE"/>
    <w:rsid w:val="00266F8E"/>
    <w:rsid w:val="002670B0"/>
    <w:rsid w:val="002674A0"/>
    <w:rsid w:val="00267613"/>
    <w:rsid w:val="00267651"/>
    <w:rsid w:val="00267712"/>
    <w:rsid w:val="00267803"/>
    <w:rsid w:val="00267881"/>
    <w:rsid w:val="00267B02"/>
    <w:rsid w:val="0027001A"/>
    <w:rsid w:val="002700C5"/>
    <w:rsid w:val="0027016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5F9"/>
    <w:rsid w:val="00271632"/>
    <w:rsid w:val="002717B6"/>
    <w:rsid w:val="002723F2"/>
    <w:rsid w:val="0027262A"/>
    <w:rsid w:val="0027268B"/>
    <w:rsid w:val="00272719"/>
    <w:rsid w:val="00272A73"/>
    <w:rsid w:val="00272C49"/>
    <w:rsid w:val="00272DAD"/>
    <w:rsid w:val="00272E24"/>
    <w:rsid w:val="00272F07"/>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04"/>
    <w:rsid w:val="002752C1"/>
    <w:rsid w:val="002752E2"/>
    <w:rsid w:val="00275370"/>
    <w:rsid w:val="002754D7"/>
    <w:rsid w:val="0027559E"/>
    <w:rsid w:val="00275709"/>
    <w:rsid w:val="00275728"/>
    <w:rsid w:val="002758DC"/>
    <w:rsid w:val="00275991"/>
    <w:rsid w:val="00275D12"/>
    <w:rsid w:val="002760F7"/>
    <w:rsid w:val="002762FC"/>
    <w:rsid w:val="00276487"/>
    <w:rsid w:val="002764D2"/>
    <w:rsid w:val="00276625"/>
    <w:rsid w:val="0027681A"/>
    <w:rsid w:val="00276838"/>
    <w:rsid w:val="00276CD2"/>
    <w:rsid w:val="00276E0A"/>
    <w:rsid w:val="00277003"/>
    <w:rsid w:val="0027727A"/>
    <w:rsid w:val="002772D1"/>
    <w:rsid w:val="00277378"/>
    <w:rsid w:val="002773B7"/>
    <w:rsid w:val="002774D3"/>
    <w:rsid w:val="002774D6"/>
    <w:rsid w:val="00277641"/>
    <w:rsid w:val="00277A1E"/>
    <w:rsid w:val="00277CBD"/>
    <w:rsid w:val="00280010"/>
    <w:rsid w:val="0028009C"/>
    <w:rsid w:val="002800BC"/>
    <w:rsid w:val="0028016D"/>
    <w:rsid w:val="002804FF"/>
    <w:rsid w:val="00280590"/>
    <w:rsid w:val="0028062F"/>
    <w:rsid w:val="0028075B"/>
    <w:rsid w:val="002807D9"/>
    <w:rsid w:val="002808AD"/>
    <w:rsid w:val="0028095C"/>
    <w:rsid w:val="002809C7"/>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0C7"/>
    <w:rsid w:val="00283110"/>
    <w:rsid w:val="00283393"/>
    <w:rsid w:val="002835A1"/>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A25"/>
    <w:rsid w:val="00287B3E"/>
    <w:rsid w:val="00287BB5"/>
    <w:rsid w:val="00287BEA"/>
    <w:rsid w:val="00287C4B"/>
    <w:rsid w:val="00290064"/>
    <w:rsid w:val="0029014D"/>
    <w:rsid w:val="002903D5"/>
    <w:rsid w:val="002907E5"/>
    <w:rsid w:val="0029088B"/>
    <w:rsid w:val="002908E7"/>
    <w:rsid w:val="00290ADC"/>
    <w:rsid w:val="00290C73"/>
    <w:rsid w:val="00290D64"/>
    <w:rsid w:val="00290D99"/>
    <w:rsid w:val="00291154"/>
    <w:rsid w:val="00291191"/>
    <w:rsid w:val="0029123D"/>
    <w:rsid w:val="00291439"/>
    <w:rsid w:val="002914AD"/>
    <w:rsid w:val="00291593"/>
    <w:rsid w:val="0029164D"/>
    <w:rsid w:val="00291796"/>
    <w:rsid w:val="00291901"/>
    <w:rsid w:val="00291940"/>
    <w:rsid w:val="00291B85"/>
    <w:rsid w:val="00291F5D"/>
    <w:rsid w:val="00291F7A"/>
    <w:rsid w:val="00292079"/>
    <w:rsid w:val="00292162"/>
    <w:rsid w:val="002922D4"/>
    <w:rsid w:val="002922EB"/>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8D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37"/>
    <w:rsid w:val="00296271"/>
    <w:rsid w:val="002962CA"/>
    <w:rsid w:val="002964D4"/>
    <w:rsid w:val="00296522"/>
    <w:rsid w:val="0029677B"/>
    <w:rsid w:val="00296788"/>
    <w:rsid w:val="002967F3"/>
    <w:rsid w:val="00296A2C"/>
    <w:rsid w:val="00296A53"/>
    <w:rsid w:val="00296ACA"/>
    <w:rsid w:val="0029701C"/>
    <w:rsid w:val="00297707"/>
    <w:rsid w:val="0029792D"/>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514"/>
    <w:rsid w:val="002A167F"/>
    <w:rsid w:val="002A16BB"/>
    <w:rsid w:val="002A1857"/>
    <w:rsid w:val="002A19B4"/>
    <w:rsid w:val="002A1AAF"/>
    <w:rsid w:val="002A2017"/>
    <w:rsid w:val="002A2125"/>
    <w:rsid w:val="002A23CD"/>
    <w:rsid w:val="002A2722"/>
    <w:rsid w:val="002A3079"/>
    <w:rsid w:val="002A3246"/>
    <w:rsid w:val="002A3356"/>
    <w:rsid w:val="002A3462"/>
    <w:rsid w:val="002A349C"/>
    <w:rsid w:val="002A353D"/>
    <w:rsid w:val="002A36EC"/>
    <w:rsid w:val="002A370A"/>
    <w:rsid w:val="002A37B3"/>
    <w:rsid w:val="002A3811"/>
    <w:rsid w:val="002A3934"/>
    <w:rsid w:val="002A3DF7"/>
    <w:rsid w:val="002A4008"/>
    <w:rsid w:val="002A4141"/>
    <w:rsid w:val="002A43F1"/>
    <w:rsid w:val="002A45AD"/>
    <w:rsid w:val="002A45EB"/>
    <w:rsid w:val="002A46B5"/>
    <w:rsid w:val="002A4736"/>
    <w:rsid w:val="002A485B"/>
    <w:rsid w:val="002A48BA"/>
    <w:rsid w:val="002A4B00"/>
    <w:rsid w:val="002A4C1F"/>
    <w:rsid w:val="002A4C4C"/>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06D"/>
    <w:rsid w:val="002A733C"/>
    <w:rsid w:val="002A7487"/>
    <w:rsid w:val="002A74ED"/>
    <w:rsid w:val="002A755C"/>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369"/>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022"/>
    <w:rsid w:val="002B5338"/>
    <w:rsid w:val="002B5354"/>
    <w:rsid w:val="002B5471"/>
    <w:rsid w:val="002B5481"/>
    <w:rsid w:val="002B565A"/>
    <w:rsid w:val="002B58EC"/>
    <w:rsid w:val="002B59FE"/>
    <w:rsid w:val="002B5A03"/>
    <w:rsid w:val="002B5A46"/>
    <w:rsid w:val="002B5A6B"/>
    <w:rsid w:val="002B5AC0"/>
    <w:rsid w:val="002B5C78"/>
    <w:rsid w:val="002B5CBC"/>
    <w:rsid w:val="002B5D7A"/>
    <w:rsid w:val="002B5E3C"/>
    <w:rsid w:val="002B689A"/>
    <w:rsid w:val="002B6FDD"/>
    <w:rsid w:val="002B7052"/>
    <w:rsid w:val="002B70B0"/>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1F3B"/>
    <w:rsid w:val="002C2091"/>
    <w:rsid w:val="002C23AF"/>
    <w:rsid w:val="002C23E1"/>
    <w:rsid w:val="002C24E5"/>
    <w:rsid w:val="002C2503"/>
    <w:rsid w:val="002C28CD"/>
    <w:rsid w:val="002C2CBC"/>
    <w:rsid w:val="002C2CFA"/>
    <w:rsid w:val="002C2D55"/>
    <w:rsid w:val="002C2D95"/>
    <w:rsid w:val="002C2E28"/>
    <w:rsid w:val="002C2E9A"/>
    <w:rsid w:val="002C2F9F"/>
    <w:rsid w:val="002C2FD0"/>
    <w:rsid w:val="002C2FF2"/>
    <w:rsid w:val="002C3021"/>
    <w:rsid w:val="002C3037"/>
    <w:rsid w:val="002C3067"/>
    <w:rsid w:val="002C30C1"/>
    <w:rsid w:val="002C3265"/>
    <w:rsid w:val="002C36EB"/>
    <w:rsid w:val="002C388E"/>
    <w:rsid w:val="002C3EB6"/>
    <w:rsid w:val="002C3F5A"/>
    <w:rsid w:val="002C3F9C"/>
    <w:rsid w:val="002C4072"/>
    <w:rsid w:val="002C435C"/>
    <w:rsid w:val="002C4400"/>
    <w:rsid w:val="002C4428"/>
    <w:rsid w:val="002C461D"/>
    <w:rsid w:val="002C4638"/>
    <w:rsid w:val="002C4AA1"/>
    <w:rsid w:val="002C4AB1"/>
    <w:rsid w:val="002C4AE5"/>
    <w:rsid w:val="002C4B03"/>
    <w:rsid w:val="002C4B4E"/>
    <w:rsid w:val="002C4BB7"/>
    <w:rsid w:val="002C4CD1"/>
    <w:rsid w:val="002C5066"/>
    <w:rsid w:val="002C50E5"/>
    <w:rsid w:val="002C54F8"/>
    <w:rsid w:val="002C55B8"/>
    <w:rsid w:val="002C5624"/>
    <w:rsid w:val="002C5741"/>
    <w:rsid w:val="002C5758"/>
    <w:rsid w:val="002C5A13"/>
    <w:rsid w:val="002C5BCD"/>
    <w:rsid w:val="002C5C4F"/>
    <w:rsid w:val="002C5CE7"/>
    <w:rsid w:val="002C5DF9"/>
    <w:rsid w:val="002C603C"/>
    <w:rsid w:val="002C6155"/>
    <w:rsid w:val="002C63B6"/>
    <w:rsid w:val="002C658E"/>
    <w:rsid w:val="002C69A3"/>
    <w:rsid w:val="002C6B16"/>
    <w:rsid w:val="002C6D52"/>
    <w:rsid w:val="002C709D"/>
    <w:rsid w:val="002C71C0"/>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811"/>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3B2"/>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9F4"/>
    <w:rsid w:val="002D4B06"/>
    <w:rsid w:val="002D4B37"/>
    <w:rsid w:val="002D4BC9"/>
    <w:rsid w:val="002D4CA7"/>
    <w:rsid w:val="002D4CF5"/>
    <w:rsid w:val="002D4D3F"/>
    <w:rsid w:val="002D4DCF"/>
    <w:rsid w:val="002D50A4"/>
    <w:rsid w:val="002D5195"/>
    <w:rsid w:val="002D55DA"/>
    <w:rsid w:val="002D56C6"/>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6D9"/>
    <w:rsid w:val="002D7939"/>
    <w:rsid w:val="002D7A5B"/>
    <w:rsid w:val="002D7D38"/>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98C"/>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7BB"/>
    <w:rsid w:val="002E3888"/>
    <w:rsid w:val="002E39D3"/>
    <w:rsid w:val="002E3A06"/>
    <w:rsid w:val="002E3B32"/>
    <w:rsid w:val="002E3E11"/>
    <w:rsid w:val="002E3EF6"/>
    <w:rsid w:val="002E40EC"/>
    <w:rsid w:val="002E419F"/>
    <w:rsid w:val="002E4216"/>
    <w:rsid w:val="002E4246"/>
    <w:rsid w:val="002E455D"/>
    <w:rsid w:val="002E4586"/>
    <w:rsid w:val="002E4784"/>
    <w:rsid w:val="002E4903"/>
    <w:rsid w:val="002E493E"/>
    <w:rsid w:val="002E4B07"/>
    <w:rsid w:val="002E4B3B"/>
    <w:rsid w:val="002E4B4E"/>
    <w:rsid w:val="002E4BB8"/>
    <w:rsid w:val="002E4C5F"/>
    <w:rsid w:val="002E4D84"/>
    <w:rsid w:val="002E4F77"/>
    <w:rsid w:val="002E52AE"/>
    <w:rsid w:val="002E52BA"/>
    <w:rsid w:val="002E54A7"/>
    <w:rsid w:val="002E55CC"/>
    <w:rsid w:val="002E58A7"/>
    <w:rsid w:val="002E5A45"/>
    <w:rsid w:val="002E5A57"/>
    <w:rsid w:val="002E5B9A"/>
    <w:rsid w:val="002E5BFD"/>
    <w:rsid w:val="002E5C1F"/>
    <w:rsid w:val="002E5D1E"/>
    <w:rsid w:val="002E5E1A"/>
    <w:rsid w:val="002E5E8D"/>
    <w:rsid w:val="002E613C"/>
    <w:rsid w:val="002E625E"/>
    <w:rsid w:val="002E6537"/>
    <w:rsid w:val="002E6577"/>
    <w:rsid w:val="002E6A70"/>
    <w:rsid w:val="002E6B35"/>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60"/>
    <w:rsid w:val="002F03BC"/>
    <w:rsid w:val="002F06C4"/>
    <w:rsid w:val="002F07A2"/>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217"/>
    <w:rsid w:val="002F2261"/>
    <w:rsid w:val="002F272C"/>
    <w:rsid w:val="002F2834"/>
    <w:rsid w:val="002F2840"/>
    <w:rsid w:val="002F2872"/>
    <w:rsid w:val="002F2922"/>
    <w:rsid w:val="002F29DB"/>
    <w:rsid w:val="002F2BDD"/>
    <w:rsid w:val="002F2CD6"/>
    <w:rsid w:val="002F2D81"/>
    <w:rsid w:val="002F2DE4"/>
    <w:rsid w:val="002F323A"/>
    <w:rsid w:val="002F32D8"/>
    <w:rsid w:val="002F34D6"/>
    <w:rsid w:val="002F3563"/>
    <w:rsid w:val="002F35A6"/>
    <w:rsid w:val="002F35CA"/>
    <w:rsid w:val="002F39BE"/>
    <w:rsid w:val="002F3B0B"/>
    <w:rsid w:val="002F3BF6"/>
    <w:rsid w:val="002F3F6E"/>
    <w:rsid w:val="002F409D"/>
    <w:rsid w:val="002F42C8"/>
    <w:rsid w:val="002F4309"/>
    <w:rsid w:val="002F4369"/>
    <w:rsid w:val="002F44E1"/>
    <w:rsid w:val="002F45E4"/>
    <w:rsid w:val="002F4650"/>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63"/>
    <w:rsid w:val="002F727A"/>
    <w:rsid w:val="002F73BF"/>
    <w:rsid w:val="002F73CC"/>
    <w:rsid w:val="002F744F"/>
    <w:rsid w:val="002F7510"/>
    <w:rsid w:val="002F7529"/>
    <w:rsid w:val="002F77BB"/>
    <w:rsid w:val="002F7A88"/>
    <w:rsid w:val="002F7CA7"/>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7DC"/>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05B"/>
    <w:rsid w:val="00304233"/>
    <w:rsid w:val="003042DA"/>
    <w:rsid w:val="00304343"/>
    <w:rsid w:val="0030443D"/>
    <w:rsid w:val="003045A8"/>
    <w:rsid w:val="00304734"/>
    <w:rsid w:val="00304DBE"/>
    <w:rsid w:val="00304DFE"/>
    <w:rsid w:val="00304F11"/>
    <w:rsid w:val="003050F3"/>
    <w:rsid w:val="00305384"/>
    <w:rsid w:val="00305427"/>
    <w:rsid w:val="003054CA"/>
    <w:rsid w:val="0030564F"/>
    <w:rsid w:val="00305706"/>
    <w:rsid w:val="0030591A"/>
    <w:rsid w:val="00305BD4"/>
    <w:rsid w:val="00305D81"/>
    <w:rsid w:val="00305DE9"/>
    <w:rsid w:val="00305E09"/>
    <w:rsid w:val="00305E9D"/>
    <w:rsid w:val="00305EE5"/>
    <w:rsid w:val="00305FE9"/>
    <w:rsid w:val="003060D0"/>
    <w:rsid w:val="003063AE"/>
    <w:rsid w:val="00306495"/>
    <w:rsid w:val="003064E0"/>
    <w:rsid w:val="003064FD"/>
    <w:rsid w:val="00306518"/>
    <w:rsid w:val="0030660B"/>
    <w:rsid w:val="0030688C"/>
    <w:rsid w:val="003068BB"/>
    <w:rsid w:val="0030696B"/>
    <w:rsid w:val="00306980"/>
    <w:rsid w:val="0030698A"/>
    <w:rsid w:val="003069E3"/>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7A1"/>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B19"/>
    <w:rsid w:val="00312CAC"/>
    <w:rsid w:val="00312D5A"/>
    <w:rsid w:val="00312EC6"/>
    <w:rsid w:val="00312F08"/>
    <w:rsid w:val="00312F3F"/>
    <w:rsid w:val="00312FDB"/>
    <w:rsid w:val="003133F3"/>
    <w:rsid w:val="0031355B"/>
    <w:rsid w:val="003136BE"/>
    <w:rsid w:val="00313886"/>
    <w:rsid w:val="00313C91"/>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E79"/>
    <w:rsid w:val="00317F62"/>
    <w:rsid w:val="0032042E"/>
    <w:rsid w:val="0032055E"/>
    <w:rsid w:val="003205DA"/>
    <w:rsid w:val="00320863"/>
    <w:rsid w:val="003208C5"/>
    <w:rsid w:val="003208E6"/>
    <w:rsid w:val="0032096E"/>
    <w:rsid w:val="00320A07"/>
    <w:rsid w:val="00320A41"/>
    <w:rsid w:val="00320B73"/>
    <w:rsid w:val="00320CD7"/>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995"/>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DED"/>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4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8E"/>
    <w:rsid w:val="003348F4"/>
    <w:rsid w:val="00334920"/>
    <w:rsid w:val="00334BBB"/>
    <w:rsid w:val="00334D16"/>
    <w:rsid w:val="00334FE7"/>
    <w:rsid w:val="0033506B"/>
    <w:rsid w:val="00335087"/>
    <w:rsid w:val="00335235"/>
    <w:rsid w:val="0033545E"/>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8F2"/>
    <w:rsid w:val="00340911"/>
    <w:rsid w:val="00340AB7"/>
    <w:rsid w:val="00340CF6"/>
    <w:rsid w:val="00340D3B"/>
    <w:rsid w:val="00340FC5"/>
    <w:rsid w:val="00341115"/>
    <w:rsid w:val="003412E4"/>
    <w:rsid w:val="003412EF"/>
    <w:rsid w:val="003415C0"/>
    <w:rsid w:val="003417E1"/>
    <w:rsid w:val="00341999"/>
    <w:rsid w:val="003419A1"/>
    <w:rsid w:val="00341C0C"/>
    <w:rsid w:val="00341D33"/>
    <w:rsid w:val="00341F1B"/>
    <w:rsid w:val="00341F70"/>
    <w:rsid w:val="00341F81"/>
    <w:rsid w:val="00341FA8"/>
    <w:rsid w:val="00342458"/>
    <w:rsid w:val="003424C9"/>
    <w:rsid w:val="003426EA"/>
    <w:rsid w:val="003429C9"/>
    <w:rsid w:val="003429D0"/>
    <w:rsid w:val="00342A3B"/>
    <w:rsid w:val="00342A47"/>
    <w:rsid w:val="00342A5F"/>
    <w:rsid w:val="00342C11"/>
    <w:rsid w:val="00342EC6"/>
    <w:rsid w:val="00342ECD"/>
    <w:rsid w:val="0034300F"/>
    <w:rsid w:val="0034314F"/>
    <w:rsid w:val="003433EC"/>
    <w:rsid w:val="00343542"/>
    <w:rsid w:val="00343554"/>
    <w:rsid w:val="0034358D"/>
    <w:rsid w:val="003435F4"/>
    <w:rsid w:val="003436A3"/>
    <w:rsid w:val="0034379A"/>
    <w:rsid w:val="00343AD7"/>
    <w:rsid w:val="00343B10"/>
    <w:rsid w:val="00343BEE"/>
    <w:rsid w:val="00343CCD"/>
    <w:rsid w:val="00343DB3"/>
    <w:rsid w:val="00344057"/>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1EA0"/>
    <w:rsid w:val="003520E3"/>
    <w:rsid w:val="003522EA"/>
    <w:rsid w:val="0035234D"/>
    <w:rsid w:val="0035247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8FE"/>
    <w:rsid w:val="00353A10"/>
    <w:rsid w:val="00353A2A"/>
    <w:rsid w:val="00353A48"/>
    <w:rsid w:val="00353B31"/>
    <w:rsid w:val="00353F5F"/>
    <w:rsid w:val="00353FB1"/>
    <w:rsid w:val="003541A5"/>
    <w:rsid w:val="003541CF"/>
    <w:rsid w:val="00354286"/>
    <w:rsid w:val="0035447D"/>
    <w:rsid w:val="003545E2"/>
    <w:rsid w:val="0035465C"/>
    <w:rsid w:val="0035474E"/>
    <w:rsid w:val="003548CC"/>
    <w:rsid w:val="00354928"/>
    <w:rsid w:val="00354A5A"/>
    <w:rsid w:val="00354C10"/>
    <w:rsid w:val="00354CAF"/>
    <w:rsid w:val="00354FE8"/>
    <w:rsid w:val="003551E0"/>
    <w:rsid w:val="003552A9"/>
    <w:rsid w:val="003552D6"/>
    <w:rsid w:val="00355310"/>
    <w:rsid w:val="003553A9"/>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8CD"/>
    <w:rsid w:val="003609CB"/>
    <w:rsid w:val="003609FC"/>
    <w:rsid w:val="00360A01"/>
    <w:rsid w:val="00360E72"/>
    <w:rsid w:val="0036114F"/>
    <w:rsid w:val="003612C8"/>
    <w:rsid w:val="00361371"/>
    <w:rsid w:val="0036166C"/>
    <w:rsid w:val="003616A4"/>
    <w:rsid w:val="00361823"/>
    <w:rsid w:val="003618EC"/>
    <w:rsid w:val="00361935"/>
    <w:rsid w:val="00361972"/>
    <w:rsid w:val="003619D2"/>
    <w:rsid w:val="00361C4E"/>
    <w:rsid w:val="00361D36"/>
    <w:rsid w:val="00361DAE"/>
    <w:rsid w:val="00361E25"/>
    <w:rsid w:val="00361E47"/>
    <w:rsid w:val="00361E62"/>
    <w:rsid w:val="003621A3"/>
    <w:rsid w:val="00362242"/>
    <w:rsid w:val="00362499"/>
    <w:rsid w:val="00362524"/>
    <w:rsid w:val="00362525"/>
    <w:rsid w:val="0036262D"/>
    <w:rsid w:val="003626EA"/>
    <w:rsid w:val="00362740"/>
    <w:rsid w:val="00362749"/>
    <w:rsid w:val="0036280D"/>
    <w:rsid w:val="00362861"/>
    <w:rsid w:val="003628E2"/>
    <w:rsid w:val="0036298A"/>
    <w:rsid w:val="00362AEA"/>
    <w:rsid w:val="00362C16"/>
    <w:rsid w:val="00362D3C"/>
    <w:rsid w:val="00362FEE"/>
    <w:rsid w:val="0036305C"/>
    <w:rsid w:val="00363104"/>
    <w:rsid w:val="00363175"/>
    <w:rsid w:val="003632CC"/>
    <w:rsid w:val="003633F1"/>
    <w:rsid w:val="00363489"/>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EE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BD7"/>
    <w:rsid w:val="00367CE3"/>
    <w:rsid w:val="00367D76"/>
    <w:rsid w:val="00367FDC"/>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4A7"/>
    <w:rsid w:val="003724C5"/>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6F6"/>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2DA"/>
    <w:rsid w:val="0038055E"/>
    <w:rsid w:val="00380845"/>
    <w:rsid w:val="0038087B"/>
    <w:rsid w:val="00380A74"/>
    <w:rsid w:val="00380EBB"/>
    <w:rsid w:val="00381150"/>
    <w:rsid w:val="0038118E"/>
    <w:rsid w:val="003811C1"/>
    <w:rsid w:val="0038143D"/>
    <w:rsid w:val="0038145F"/>
    <w:rsid w:val="003819DC"/>
    <w:rsid w:val="00381C0D"/>
    <w:rsid w:val="00381C74"/>
    <w:rsid w:val="00381CB5"/>
    <w:rsid w:val="00381F17"/>
    <w:rsid w:val="00381F69"/>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2A"/>
    <w:rsid w:val="0038348C"/>
    <w:rsid w:val="003835C8"/>
    <w:rsid w:val="00383711"/>
    <w:rsid w:val="0038374D"/>
    <w:rsid w:val="0038378D"/>
    <w:rsid w:val="0038388E"/>
    <w:rsid w:val="0038389D"/>
    <w:rsid w:val="0038397E"/>
    <w:rsid w:val="00383A3C"/>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4FE"/>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35"/>
    <w:rsid w:val="003928E6"/>
    <w:rsid w:val="00392A11"/>
    <w:rsid w:val="00392ABA"/>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9E3"/>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C12"/>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7D"/>
    <w:rsid w:val="003A3EC2"/>
    <w:rsid w:val="003A3F82"/>
    <w:rsid w:val="003A3FA5"/>
    <w:rsid w:val="003A3FBE"/>
    <w:rsid w:val="003A3FC7"/>
    <w:rsid w:val="003A400D"/>
    <w:rsid w:val="003A402E"/>
    <w:rsid w:val="003A4139"/>
    <w:rsid w:val="003A41E4"/>
    <w:rsid w:val="003A47AA"/>
    <w:rsid w:val="003A47B4"/>
    <w:rsid w:val="003A47F0"/>
    <w:rsid w:val="003A48B2"/>
    <w:rsid w:val="003A48D5"/>
    <w:rsid w:val="003A4960"/>
    <w:rsid w:val="003A4AD0"/>
    <w:rsid w:val="003A4B3C"/>
    <w:rsid w:val="003A4FE1"/>
    <w:rsid w:val="003A5175"/>
    <w:rsid w:val="003A54F6"/>
    <w:rsid w:val="003A557A"/>
    <w:rsid w:val="003A5844"/>
    <w:rsid w:val="003A5C38"/>
    <w:rsid w:val="003A5CD5"/>
    <w:rsid w:val="003A5D4E"/>
    <w:rsid w:val="003A5ED4"/>
    <w:rsid w:val="003A5F76"/>
    <w:rsid w:val="003A6132"/>
    <w:rsid w:val="003A61F9"/>
    <w:rsid w:val="003A6478"/>
    <w:rsid w:val="003A64C1"/>
    <w:rsid w:val="003A680F"/>
    <w:rsid w:val="003A6954"/>
    <w:rsid w:val="003A6A0A"/>
    <w:rsid w:val="003A6D6C"/>
    <w:rsid w:val="003A6D95"/>
    <w:rsid w:val="003A6EF4"/>
    <w:rsid w:val="003A6FA9"/>
    <w:rsid w:val="003A6FD6"/>
    <w:rsid w:val="003A7059"/>
    <w:rsid w:val="003A7510"/>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09"/>
    <w:rsid w:val="003B0933"/>
    <w:rsid w:val="003B094B"/>
    <w:rsid w:val="003B0960"/>
    <w:rsid w:val="003B0C2F"/>
    <w:rsid w:val="003B0C57"/>
    <w:rsid w:val="003B0C9E"/>
    <w:rsid w:val="003B0F0F"/>
    <w:rsid w:val="003B0F1A"/>
    <w:rsid w:val="003B0F26"/>
    <w:rsid w:val="003B0F57"/>
    <w:rsid w:val="003B120F"/>
    <w:rsid w:val="003B146E"/>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85"/>
    <w:rsid w:val="003B3496"/>
    <w:rsid w:val="003B3744"/>
    <w:rsid w:val="003B3B80"/>
    <w:rsid w:val="003B3D87"/>
    <w:rsid w:val="003B3D9D"/>
    <w:rsid w:val="003B3E5D"/>
    <w:rsid w:val="003B3F8B"/>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186"/>
    <w:rsid w:val="003B56E2"/>
    <w:rsid w:val="003B5800"/>
    <w:rsid w:val="003B5824"/>
    <w:rsid w:val="003B586D"/>
    <w:rsid w:val="003B59E5"/>
    <w:rsid w:val="003B5DB6"/>
    <w:rsid w:val="003B5F9F"/>
    <w:rsid w:val="003B5FE8"/>
    <w:rsid w:val="003B6040"/>
    <w:rsid w:val="003B60B4"/>
    <w:rsid w:val="003B6399"/>
    <w:rsid w:val="003B689A"/>
    <w:rsid w:val="003B6C09"/>
    <w:rsid w:val="003B71F9"/>
    <w:rsid w:val="003B75BF"/>
    <w:rsid w:val="003B7607"/>
    <w:rsid w:val="003B7837"/>
    <w:rsid w:val="003B7BF6"/>
    <w:rsid w:val="003B7C7F"/>
    <w:rsid w:val="003B7E30"/>
    <w:rsid w:val="003B7ECB"/>
    <w:rsid w:val="003B7EEE"/>
    <w:rsid w:val="003C0019"/>
    <w:rsid w:val="003C05EB"/>
    <w:rsid w:val="003C0836"/>
    <w:rsid w:val="003C0A81"/>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412"/>
    <w:rsid w:val="003C3A39"/>
    <w:rsid w:val="003C3AB8"/>
    <w:rsid w:val="003C3C38"/>
    <w:rsid w:val="003C3DD5"/>
    <w:rsid w:val="003C3E61"/>
    <w:rsid w:val="003C40E8"/>
    <w:rsid w:val="003C4203"/>
    <w:rsid w:val="003C454D"/>
    <w:rsid w:val="003C46FB"/>
    <w:rsid w:val="003C4829"/>
    <w:rsid w:val="003C4BEC"/>
    <w:rsid w:val="003C4BF0"/>
    <w:rsid w:val="003C4C53"/>
    <w:rsid w:val="003C4D21"/>
    <w:rsid w:val="003C50EF"/>
    <w:rsid w:val="003C5791"/>
    <w:rsid w:val="003C596E"/>
    <w:rsid w:val="003C5A7E"/>
    <w:rsid w:val="003C5CD2"/>
    <w:rsid w:val="003C6021"/>
    <w:rsid w:val="003C6115"/>
    <w:rsid w:val="003C618B"/>
    <w:rsid w:val="003C6287"/>
    <w:rsid w:val="003C6306"/>
    <w:rsid w:val="003C6548"/>
    <w:rsid w:val="003C6746"/>
    <w:rsid w:val="003C6761"/>
    <w:rsid w:val="003C6801"/>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EEC"/>
    <w:rsid w:val="003C7FAD"/>
    <w:rsid w:val="003D02D1"/>
    <w:rsid w:val="003D041D"/>
    <w:rsid w:val="003D0562"/>
    <w:rsid w:val="003D07BA"/>
    <w:rsid w:val="003D08DD"/>
    <w:rsid w:val="003D0A53"/>
    <w:rsid w:val="003D0BA3"/>
    <w:rsid w:val="003D0C1F"/>
    <w:rsid w:val="003D0C27"/>
    <w:rsid w:val="003D0F1F"/>
    <w:rsid w:val="003D12D5"/>
    <w:rsid w:val="003D135A"/>
    <w:rsid w:val="003D1372"/>
    <w:rsid w:val="003D1682"/>
    <w:rsid w:val="003D17A2"/>
    <w:rsid w:val="003D1854"/>
    <w:rsid w:val="003D1A37"/>
    <w:rsid w:val="003D1BD6"/>
    <w:rsid w:val="003D1D70"/>
    <w:rsid w:val="003D2046"/>
    <w:rsid w:val="003D2128"/>
    <w:rsid w:val="003D2368"/>
    <w:rsid w:val="003D26CB"/>
    <w:rsid w:val="003D271C"/>
    <w:rsid w:val="003D2819"/>
    <w:rsid w:val="003D2881"/>
    <w:rsid w:val="003D2AF9"/>
    <w:rsid w:val="003D2D68"/>
    <w:rsid w:val="003D2DF1"/>
    <w:rsid w:val="003D2F5B"/>
    <w:rsid w:val="003D33B3"/>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C75"/>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6A7"/>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5E"/>
    <w:rsid w:val="003E14A1"/>
    <w:rsid w:val="003E1742"/>
    <w:rsid w:val="003E17BC"/>
    <w:rsid w:val="003E1AB2"/>
    <w:rsid w:val="003E1B34"/>
    <w:rsid w:val="003E1B85"/>
    <w:rsid w:val="003E1F7B"/>
    <w:rsid w:val="003E2164"/>
    <w:rsid w:val="003E240A"/>
    <w:rsid w:val="003E2447"/>
    <w:rsid w:val="003E251C"/>
    <w:rsid w:val="003E2548"/>
    <w:rsid w:val="003E2800"/>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7E"/>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2DF6"/>
    <w:rsid w:val="003F3325"/>
    <w:rsid w:val="003F3415"/>
    <w:rsid w:val="003F349C"/>
    <w:rsid w:val="003F35AA"/>
    <w:rsid w:val="003F398C"/>
    <w:rsid w:val="003F3B20"/>
    <w:rsid w:val="003F3CAF"/>
    <w:rsid w:val="003F3CFA"/>
    <w:rsid w:val="003F3DA8"/>
    <w:rsid w:val="003F3DC5"/>
    <w:rsid w:val="003F3EBF"/>
    <w:rsid w:val="003F4032"/>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DA1"/>
    <w:rsid w:val="003F5EDC"/>
    <w:rsid w:val="003F5F8F"/>
    <w:rsid w:val="003F5F99"/>
    <w:rsid w:val="003F621C"/>
    <w:rsid w:val="003F6313"/>
    <w:rsid w:val="003F63EE"/>
    <w:rsid w:val="003F651E"/>
    <w:rsid w:val="003F6697"/>
    <w:rsid w:val="003F66A5"/>
    <w:rsid w:val="003F6714"/>
    <w:rsid w:val="003F67B9"/>
    <w:rsid w:val="003F6A59"/>
    <w:rsid w:val="003F6B1A"/>
    <w:rsid w:val="003F6B41"/>
    <w:rsid w:val="003F6D04"/>
    <w:rsid w:val="003F6F25"/>
    <w:rsid w:val="003F72C3"/>
    <w:rsid w:val="003F73FA"/>
    <w:rsid w:val="003F74B1"/>
    <w:rsid w:val="003F74BB"/>
    <w:rsid w:val="003F7622"/>
    <w:rsid w:val="003F775D"/>
    <w:rsid w:val="003F7892"/>
    <w:rsid w:val="003F7961"/>
    <w:rsid w:val="003F7C99"/>
    <w:rsid w:val="0040025F"/>
    <w:rsid w:val="00400395"/>
    <w:rsid w:val="00400762"/>
    <w:rsid w:val="00400B48"/>
    <w:rsid w:val="00400C56"/>
    <w:rsid w:val="00400DCA"/>
    <w:rsid w:val="00400F24"/>
    <w:rsid w:val="0040104E"/>
    <w:rsid w:val="00401083"/>
    <w:rsid w:val="004010D9"/>
    <w:rsid w:val="004011B8"/>
    <w:rsid w:val="004013D4"/>
    <w:rsid w:val="004013F3"/>
    <w:rsid w:val="004014EF"/>
    <w:rsid w:val="004015E2"/>
    <w:rsid w:val="004015EF"/>
    <w:rsid w:val="00401914"/>
    <w:rsid w:val="0040196D"/>
    <w:rsid w:val="00401AB6"/>
    <w:rsid w:val="00401DBC"/>
    <w:rsid w:val="00402138"/>
    <w:rsid w:val="00402210"/>
    <w:rsid w:val="004022A6"/>
    <w:rsid w:val="004026C2"/>
    <w:rsid w:val="00402B49"/>
    <w:rsid w:val="00402BC5"/>
    <w:rsid w:val="00402BEC"/>
    <w:rsid w:val="00402C2A"/>
    <w:rsid w:val="00402DD5"/>
    <w:rsid w:val="00402F55"/>
    <w:rsid w:val="0040320C"/>
    <w:rsid w:val="004035AB"/>
    <w:rsid w:val="00403A45"/>
    <w:rsid w:val="00403F77"/>
    <w:rsid w:val="00404007"/>
    <w:rsid w:val="0040400E"/>
    <w:rsid w:val="00404193"/>
    <w:rsid w:val="0040420F"/>
    <w:rsid w:val="00404295"/>
    <w:rsid w:val="004042B7"/>
    <w:rsid w:val="00404402"/>
    <w:rsid w:val="004047B1"/>
    <w:rsid w:val="004049FB"/>
    <w:rsid w:val="00404AC6"/>
    <w:rsid w:val="00404B36"/>
    <w:rsid w:val="00404B66"/>
    <w:rsid w:val="00404BDB"/>
    <w:rsid w:val="00404D96"/>
    <w:rsid w:val="00404DFB"/>
    <w:rsid w:val="00404F18"/>
    <w:rsid w:val="00404FE2"/>
    <w:rsid w:val="004056BA"/>
    <w:rsid w:val="004057BB"/>
    <w:rsid w:val="00405819"/>
    <w:rsid w:val="0040589B"/>
    <w:rsid w:val="00405A25"/>
    <w:rsid w:val="00405B7C"/>
    <w:rsid w:val="00405BA1"/>
    <w:rsid w:val="00405EA7"/>
    <w:rsid w:val="00405F9E"/>
    <w:rsid w:val="0040604D"/>
    <w:rsid w:val="0040616C"/>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3A1"/>
    <w:rsid w:val="00410404"/>
    <w:rsid w:val="00410504"/>
    <w:rsid w:val="0041072B"/>
    <w:rsid w:val="00410962"/>
    <w:rsid w:val="004109E3"/>
    <w:rsid w:val="00410A3B"/>
    <w:rsid w:val="00410A99"/>
    <w:rsid w:val="00410ADF"/>
    <w:rsid w:val="00410B1D"/>
    <w:rsid w:val="004110B8"/>
    <w:rsid w:val="00411121"/>
    <w:rsid w:val="0041129A"/>
    <w:rsid w:val="00411ADF"/>
    <w:rsid w:val="00412030"/>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BB7"/>
    <w:rsid w:val="00413C74"/>
    <w:rsid w:val="00413CE4"/>
    <w:rsid w:val="004142A1"/>
    <w:rsid w:val="004143AE"/>
    <w:rsid w:val="004144C4"/>
    <w:rsid w:val="00414582"/>
    <w:rsid w:val="004145DB"/>
    <w:rsid w:val="00414615"/>
    <w:rsid w:val="00414787"/>
    <w:rsid w:val="0041479B"/>
    <w:rsid w:val="00414A82"/>
    <w:rsid w:val="00414BB3"/>
    <w:rsid w:val="00414DA0"/>
    <w:rsid w:val="00414F97"/>
    <w:rsid w:val="004154D1"/>
    <w:rsid w:val="004156F0"/>
    <w:rsid w:val="00415875"/>
    <w:rsid w:val="00415963"/>
    <w:rsid w:val="00415B16"/>
    <w:rsid w:val="00415BE4"/>
    <w:rsid w:val="00415C71"/>
    <w:rsid w:val="00415FF6"/>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513"/>
    <w:rsid w:val="004206E6"/>
    <w:rsid w:val="00420783"/>
    <w:rsid w:val="00420856"/>
    <w:rsid w:val="004209D7"/>
    <w:rsid w:val="00420A08"/>
    <w:rsid w:val="00420AE3"/>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BC"/>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5D"/>
    <w:rsid w:val="004258AE"/>
    <w:rsid w:val="00425926"/>
    <w:rsid w:val="004259D5"/>
    <w:rsid w:val="00425B5B"/>
    <w:rsid w:val="00425DC9"/>
    <w:rsid w:val="00425E85"/>
    <w:rsid w:val="00425F71"/>
    <w:rsid w:val="00426005"/>
    <w:rsid w:val="004260A3"/>
    <w:rsid w:val="00426275"/>
    <w:rsid w:val="004262C2"/>
    <w:rsid w:val="004262DD"/>
    <w:rsid w:val="004262EA"/>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0E"/>
    <w:rsid w:val="00431969"/>
    <w:rsid w:val="00431BA6"/>
    <w:rsid w:val="00431CF5"/>
    <w:rsid w:val="00431D22"/>
    <w:rsid w:val="00431E80"/>
    <w:rsid w:val="00431F66"/>
    <w:rsid w:val="00431FA8"/>
    <w:rsid w:val="00432202"/>
    <w:rsid w:val="00432AE7"/>
    <w:rsid w:val="00432C7D"/>
    <w:rsid w:val="0043301E"/>
    <w:rsid w:val="00433240"/>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37D4E"/>
    <w:rsid w:val="00437E3A"/>
    <w:rsid w:val="004401F1"/>
    <w:rsid w:val="004402CF"/>
    <w:rsid w:val="004403B0"/>
    <w:rsid w:val="0044044E"/>
    <w:rsid w:val="0044046E"/>
    <w:rsid w:val="004405B0"/>
    <w:rsid w:val="00440625"/>
    <w:rsid w:val="0044072D"/>
    <w:rsid w:val="00440A5B"/>
    <w:rsid w:val="00440AAB"/>
    <w:rsid w:val="00440B42"/>
    <w:rsid w:val="00440B5C"/>
    <w:rsid w:val="00440C38"/>
    <w:rsid w:val="00440DA5"/>
    <w:rsid w:val="00440E7B"/>
    <w:rsid w:val="00440FC3"/>
    <w:rsid w:val="00441083"/>
    <w:rsid w:val="004410B0"/>
    <w:rsid w:val="0044149C"/>
    <w:rsid w:val="004414E1"/>
    <w:rsid w:val="004415C4"/>
    <w:rsid w:val="004418B9"/>
    <w:rsid w:val="004418CF"/>
    <w:rsid w:val="00441A13"/>
    <w:rsid w:val="00441A64"/>
    <w:rsid w:val="00441C0F"/>
    <w:rsid w:val="00442130"/>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231"/>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E83"/>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12B"/>
    <w:rsid w:val="004462A2"/>
    <w:rsid w:val="0044674B"/>
    <w:rsid w:val="00446771"/>
    <w:rsid w:val="004467E6"/>
    <w:rsid w:val="00446993"/>
    <w:rsid w:val="00446A5B"/>
    <w:rsid w:val="00446B49"/>
    <w:rsid w:val="00446C44"/>
    <w:rsid w:val="00446D15"/>
    <w:rsid w:val="00446D17"/>
    <w:rsid w:val="00446D30"/>
    <w:rsid w:val="00446FFB"/>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1CEB"/>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623"/>
    <w:rsid w:val="0045798A"/>
    <w:rsid w:val="00457AD1"/>
    <w:rsid w:val="00457BD9"/>
    <w:rsid w:val="00457D9B"/>
    <w:rsid w:val="00457F0C"/>
    <w:rsid w:val="00460364"/>
    <w:rsid w:val="00460644"/>
    <w:rsid w:val="0046072B"/>
    <w:rsid w:val="004607BA"/>
    <w:rsid w:val="00460BD2"/>
    <w:rsid w:val="00460C13"/>
    <w:rsid w:val="00460CEF"/>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20"/>
    <w:rsid w:val="004631E5"/>
    <w:rsid w:val="00463438"/>
    <w:rsid w:val="00463769"/>
    <w:rsid w:val="00463972"/>
    <w:rsid w:val="004639D7"/>
    <w:rsid w:val="0046409A"/>
    <w:rsid w:val="004640ED"/>
    <w:rsid w:val="004641ED"/>
    <w:rsid w:val="0046423F"/>
    <w:rsid w:val="0046431E"/>
    <w:rsid w:val="0046458B"/>
    <w:rsid w:val="004645EA"/>
    <w:rsid w:val="004645F2"/>
    <w:rsid w:val="0046473C"/>
    <w:rsid w:val="0046482D"/>
    <w:rsid w:val="00464904"/>
    <w:rsid w:val="00464A74"/>
    <w:rsid w:val="00464DBE"/>
    <w:rsid w:val="00464DCF"/>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6F80"/>
    <w:rsid w:val="00467069"/>
    <w:rsid w:val="0046706E"/>
    <w:rsid w:val="004670E0"/>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3E34"/>
    <w:rsid w:val="00474291"/>
    <w:rsid w:val="00474553"/>
    <w:rsid w:val="00474581"/>
    <w:rsid w:val="004745C1"/>
    <w:rsid w:val="00474687"/>
    <w:rsid w:val="0047488E"/>
    <w:rsid w:val="00474B08"/>
    <w:rsid w:val="00474B0E"/>
    <w:rsid w:val="00474B7C"/>
    <w:rsid w:val="00474C05"/>
    <w:rsid w:val="00474C1B"/>
    <w:rsid w:val="00474F1B"/>
    <w:rsid w:val="0047509A"/>
    <w:rsid w:val="00475174"/>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37"/>
    <w:rsid w:val="004824E2"/>
    <w:rsid w:val="0048271D"/>
    <w:rsid w:val="00482B79"/>
    <w:rsid w:val="00482C74"/>
    <w:rsid w:val="00482F47"/>
    <w:rsid w:val="00483243"/>
    <w:rsid w:val="00483319"/>
    <w:rsid w:val="00483365"/>
    <w:rsid w:val="004833F3"/>
    <w:rsid w:val="004834E1"/>
    <w:rsid w:val="00483549"/>
    <w:rsid w:val="00483716"/>
    <w:rsid w:val="0048375E"/>
    <w:rsid w:val="004837A9"/>
    <w:rsid w:val="0048392A"/>
    <w:rsid w:val="004839E0"/>
    <w:rsid w:val="00483B16"/>
    <w:rsid w:val="00483B33"/>
    <w:rsid w:val="00483B96"/>
    <w:rsid w:val="00483CF4"/>
    <w:rsid w:val="00483D3E"/>
    <w:rsid w:val="00483E87"/>
    <w:rsid w:val="00483E95"/>
    <w:rsid w:val="00483ED7"/>
    <w:rsid w:val="0048426A"/>
    <w:rsid w:val="0048487C"/>
    <w:rsid w:val="00484978"/>
    <w:rsid w:val="00484C23"/>
    <w:rsid w:val="00484C64"/>
    <w:rsid w:val="00484C73"/>
    <w:rsid w:val="00484CAA"/>
    <w:rsid w:val="00484D71"/>
    <w:rsid w:val="00484F11"/>
    <w:rsid w:val="00484FB6"/>
    <w:rsid w:val="00485338"/>
    <w:rsid w:val="004853A8"/>
    <w:rsid w:val="004855DC"/>
    <w:rsid w:val="00485939"/>
    <w:rsid w:val="00485A7F"/>
    <w:rsid w:val="00485B81"/>
    <w:rsid w:val="00485DFA"/>
    <w:rsid w:val="00485E9B"/>
    <w:rsid w:val="0048636A"/>
    <w:rsid w:val="00486377"/>
    <w:rsid w:val="00486411"/>
    <w:rsid w:val="0048654B"/>
    <w:rsid w:val="004865D5"/>
    <w:rsid w:val="004865E5"/>
    <w:rsid w:val="0048687A"/>
    <w:rsid w:val="004868F1"/>
    <w:rsid w:val="00486CA7"/>
    <w:rsid w:val="00486D5B"/>
    <w:rsid w:val="00486E91"/>
    <w:rsid w:val="004871C6"/>
    <w:rsid w:val="004871CF"/>
    <w:rsid w:val="0048732C"/>
    <w:rsid w:val="004873E3"/>
    <w:rsid w:val="00487433"/>
    <w:rsid w:val="00487506"/>
    <w:rsid w:val="0048786E"/>
    <w:rsid w:val="004879F9"/>
    <w:rsid w:val="00487D4C"/>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C91"/>
    <w:rsid w:val="00491D49"/>
    <w:rsid w:val="00491D6D"/>
    <w:rsid w:val="00491DA9"/>
    <w:rsid w:val="00491F4A"/>
    <w:rsid w:val="00491F60"/>
    <w:rsid w:val="00492263"/>
    <w:rsid w:val="00492450"/>
    <w:rsid w:val="00492463"/>
    <w:rsid w:val="0049253B"/>
    <w:rsid w:val="004925FE"/>
    <w:rsid w:val="0049269E"/>
    <w:rsid w:val="0049297A"/>
    <w:rsid w:val="00492B5F"/>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4FFB"/>
    <w:rsid w:val="00495A6C"/>
    <w:rsid w:val="00495AE0"/>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A8D"/>
    <w:rsid w:val="004A0B6C"/>
    <w:rsid w:val="004A0BDA"/>
    <w:rsid w:val="004A0CB4"/>
    <w:rsid w:val="004A0DB3"/>
    <w:rsid w:val="004A0EB0"/>
    <w:rsid w:val="004A0ECB"/>
    <w:rsid w:val="004A0FF8"/>
    <w:rsid w:val="004A0FF9"/>
    <w:rsid w:val="004A106B"/>
    <w:rsid w:val="004A1431"/>
    <w:rsid w:val="004A14E0"/>
    <w:rsid w:val="004A150E"/>
    <w:rsid w:val="004A17E7"/>
    <w:rsid w:val="004A1824"/>
    <w:rsid w:val="004A19E8"/>
    <w:rsid w:val="004A1A15"/>
    <w:rsid w:val="004A1A67"/>
    <w:rsid w:val="004A1E3C"/>
    <w:rsid w:val="004A1EF8"/>
    <w:rsid w:val="004A2132"/>
    <w:rsid w:val="004A2182"/>
    <w:rsid w:val="004A22C0"/>
    <w:rsid w:val="004A251A"/>
    <w:rsid w:val="004A2841"/>
    <w:rsid w:val="004A2A16"/>
    <w:rsid w:val="004A2D1B"/>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1D6"/>
    <w:rsid w:val="004A421F"/>
    <w:rsid w:val="004A4282"/>
    <w:rsid w:val="004A437D"/>
    <w:rsid w:val="004A43B8"/>
    <w:rsid w:val="004A43BE"/>
    <w:rsid w:val="004A4439"/>
    <w:rsid w:val="004A46C3"/>
    <w:rsid w:val="004A478F"/>
    <w:rsid w:val="004A47E6"/>
    <w:rsid w:val="004A485E"/>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93D"/>
    <w:rsid w:val="004B2995"/>
    <w:rsid w:val="004B2B4B"/>
    <w:rsid w:val="004B2CA0"/>
    <w:rsid w:val="004B2F4E"/>
    <w:rsid w:val="004B304E"/>
    <w:rsid w:val="004B316E"/>
    <w:rsid w:val="004B32BF"/>
    <w:rsid w:val="004B356A"/>
    <w:rsid w:val="004B35EE"/>
    <w:rsid w:val="004B3740"/>
    <w:rsid w:val="004B376D"/>
    <w:rsid w:val="004B3772"/>
    <w:rsid w:val="004B37A0"/>
    <w:rsid w:val="004B3AAB"/>
    <w:rsid w:val="004B3B62"/>
    <w:rsid w:val="004B3BED"/>
    <w:rsid w:val="004B3D21"/>
    <w:rsid w:val="004B3E57"/>
    <w:rsid w:val="004B40E0"/>
    <w:rsid w:val="004B41BB"/>
    <w:rsid w:val="004B424F"/>
    <w:rsid w:val="004B464C"/>
    <w:rsid w:val="004B4682"/>
    <w:rsid w:val="004B49AB"/>
    <w:rsid w:val="004B49D8"/>
    <w:rsid w:val="004B4B29"/>
    <w:rsid w:val="004B4C38"/>
    <w:rsid w:val="004B4E51"/>
    <w:rsid w:val="004B4FD4"/>
    <w:rsid w:val="004B52DF"/>
    <w:rsid w:val="004B53C9"/>
    <w:rsid w:val="004B53D7"/>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37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522"/>
    <w:rsid w:val="004C26FD"/>
    <w:rsid w:val="004C289A"/>
    <w:rsid w:val="004C28C2"/>
    <w:rsid w:val="004C2BE9"/>
    <w:rsid w:val="004C2DE0"/>
    <w:rsid w:val="004C34A2"/>
    <w:rsid w:val="004C34D9"/>
    <w:rsid w:val="004C36A0"/>
    <w:rsid w:val="004C3BCC"/>
    <w:rsid w:val="004C3C3B"/>
    <w:rsid w:val="004C3CCB"/>
    <w:rsid w:val="004C3D11"/>
    <w:rsid w:val="004C3E39"/>
    <w:rsid w:val="004C40C4"/>
    <w:rsid w:val="004C40ED"/>
    <w:rsid w:val="004C424A"/>
    <w:rsid w:val="004C4501"/>
    <w:rsid w:val="004C4864"/>
    <w:rsid w:val="004C48F6"/>
    <w:rsid w:val="004C4A4C"/>
    <w:rsid w:val="004C4E64"/>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40"/>
    <w:rsid w:val="004C7AE3"/>
    <w:rsid w:val="004C7B2C"/>
    <w:rsid w:val="004C7BCB"/>
    <w:rsid w:val="004C7C1A"/>
    <w:rsid w:val="004C7E92"/>
    <w:rsid w:val="004C7F61"/>
    <w:rsid w:val="004C7FA2"/>
    <w:rsid w:val="004D00C0"/>
    <w:rsid w:val="004D00E2"/>
    <w:rsid w:val="004D02EE"/>
    <w:rsid w:val="004D03BA"/>
    <w:rsid w:val="004D04A2"/>
    <w:rsid w:val="004D0503"/>
    <w:rsid w:val="004D0597"/>
    <w:rsid w:val="004D071D"/>
    <w:rsid w:val="004D07B3"/>
    <w:rsid w:val="004D0871"/>
    <w:rsid w:val="004D0A8C"/>
    <w:rsid w:val="004D0B9F"/>
    <w:rsid w:val="004D0C80"/>
    <w:rsid w:val="004D0EC3"/>
    <w:rsid w:val="004D0ED5"/>
    <w:rsid w:val="004D10A1"/>
    <w:rsid w:val="004D132D"/>
    <w:rsid w:val="004D1493"/>
    <w:rsid w:val="004D14D6"/>
    <w:rsid w:val="004D1BEB"/>
    <w:rsid w:val="004D1C48"/>
    <w:rsid w:val="004D1C4B"/>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077"/>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E68"/>
    <w:rsid w:val="004D4EEE"/>
    <w:rsid w:val="004D4F4C"/>
    <w:rsid w:val="004D4FCC"/>
    <w:rsid w:val="004D506F"/>
    <w:rsid w:val="004D51E9"/>
    <w:rsid w:val="004D52F6"/>
    <w:rsid w:val="004D5606"/>
    <w:rsid w:val="004D561F"/>
    <w:rsid w:val="004D595A"/>
    <w:rsid w:val="004D5A01"/>
    <w:rsid w:val="004D5A45"/>
    <w:rsid w:val="004D5A71"/>
    <w:rsid w:val="004D5ACA"/>
    <w:rsid w:val="004D5B42"/>
    <w:rsid w:val="004D5C60"/>
    <w:rsid w:val="004D5D0E"/>
    <w:rsid w:val="004D5DD7"/>
    <w:rsid w:val="004D5E66"/>
    <w:rsid w:val="004D6020"/>
    <w:rsid w:val="004D6090"/>
    <w:rsid w:val="004D6157"/>
    <w:rsid w:val="004D63CA"/>
    <w:rsid w:val="004D6627"/>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0DE"/>
    <w:rsid w:val="004E0321"/>
    <w:rsid w:val="004E0347"/>
    <w:rsid w:val="004E04B2"/>
    <w:rsid w:val="004E07A0"/>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3A0"/>
    <w:rsid w:val="004E241E"/>
    <w:rsid w:val="004E2A82"/>
    <w:rsid w:val="004E2BD0"/>
    <w:rsid w:val="004E328C"/>
    <w:rsid w:val="004E3718"/>
    <w:rsid w:val="004E389A"/>
    <w:rsid w:val="004E394D"/>
    <w:rsid w:val="004E39CE"/>
    <w:rsid w:val="004E3B09"/>
    <w:rsid w:val="004E3C47"/>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43"/>
    <w:rsid w:val="004E5EA0"/>
    <w:rsid w:val="004E5F65"/>
    <w:rsid w:val="004E6273"/>
    <w:rsid w:val="004E63ED"/>
    <w:rsid w:val="004E6566"/>
    <w:rsid w:val="004E67CC"/>
    <w:rsid w:val="004E683E"/>
    <w:rsid w:val="004E68B6"/>
    <w:rsid w:val="004E6920"/>
    <w:rsid w:val="004E69CB"/>
    <w:rsid w:val="004E69E5"/>
    <w:rsid w:val="004E6B3E"/>
    <w:rsid w:val="004E6D48"/>
    <w:rsid w:val="004E6E1E"/>
    <w:rsid w:val="004E6FC7"/>
    <w:rsid w:val="004E6FF7"/>
    <w:rsid w:val="004E7319"/>
    <w:rsid w:val="004E7383"/>
    <w:rsid w:val="004E73C7"/>
    <w:rsid w:val="004E7733"/>
    <w:rsid w:val="004E7917"/>
    <w:rsid w:val="004E7A0A"/>
    <w:rsid w:val="004E7A58"/>
    <w:rsid w:val="004E7AB6"/>
    <w:rsid w:val="004E7B7E"/>
    <w:rsid w:val="004E7CE2"/>
    <w:rsid w:val="004E7DD7"/>
    <w:rsid w:val="004E7EAF"/>
    <w:rsid w:val="004F029F"/>
    <w:rsid w:val="004F02E6"/>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D3"/>
    <w:rsid w:val="004F25F8"/>
    <w:rsid w:val="004F293B"/>
    <w:rsid w:val="004F2ABD"/>
    <w:rsid w:val="004F2B49"/>
    <w:rsid w:val="004F2C82"/>
    <w:rsid w:val="004F2DD3"/>
    <w:rsid w:val="004F2EF7"/>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17"/>
    <w:rsid w:val="004F41F7"/>
    <w:rsid w:val="004F441E"/>
    <w:rsid w:val="004F45AF"/>
    <w:rsid w:val="004F468B"/>
    <w:rsid w:val="004F4702"/>
    <w:rsid w:val="004F47C7"/>
    <w:rsid w:val="004F49A4"/>
    <w:rsid w:val="004F4AE8"/>
    <w:rsid w:val="004F4E7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70"/>
    <w:rsid w:val="004F73A5"/>
    <w:rsid w:val="004F7458"/>
    <w:rsid w:val="004F761D"/>
    <w:rsid w:val="004F76F4"/>
    <w:rsid w:val="004F78A4"/>
    <w:rsid w:val="004F7B75"/>
    <w:rsid w:val="00500014"/>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6C1"/>
    <w:rsid w:val="00501A18"/>
    <w:rsid w:val="00501A7C"/>
    <w:rsid w:val="00501B7F"/>
    <w:rsid w:val="00501B93"/>
    <w:rsid w:val="00501C43"/>
    <w:rsid w:val="00501E23"/>
    <w:rsid w:val="00501EBB"/>
    <w:rsid w:val="00501F73"/>
    <w:rsid w:val="0050220E"/>
    <w:rsid w:val="00502366"/>
    <w:rsid w:val="00502731"/>
    <w:rsid w:val="0050278C"/>
    <w:rsid w:val="005028A0"/>
    <w:rsid w:val="00502CE9"/>
    <w:rsid w:val="00502DBB"/>
    <w:rsid w:val="00502FEE"/>
    <w:rsid w:val="00503147"/>
    <w:rsid w:val="00503267"/>
    <w:rsid w:val="005036A0"/>
    <w:rsid w:val="005037D3"/>
    <w:rsid w:val="00503992"/>
    <w:rsid w:val="00503A63"/>
    <w:rsid w:val="00503A7B"/>
    <w:rsid w:val="00503AA5"/>
    <w:rsid w:val="00503ADC"/>
    <w:rsid w:val="00503C4A"/>
    <w:rsid w:val="00503E99"/>
    <w:rsid w:val="00503EBB"/>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D48"/>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7B"/>
    <w:rsid w:val="00507AFA"/>
    <w:rsid w:val="00510057"/>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5F"/>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947"/>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BA3"/>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591"/>
    <w:rsid w:val="00522A48"/>
    <w:rsid w:val="00522A4F"/>
    <w:rsid w:val="00522AE1"/>
    <w:rsid w:val="00522BDE"/>
    <w:rsid w:val="00522F84"/>
    <w:rsid w:val="00522FEB"/>
    <w:rsid w:val="00523273"/>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B30"/>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02"/>
    <w:rsid w:val="00527023"/>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E7B"/>
    <w:rsid w:val="00527F2E"/>
    <w:rsid w:val="00527FAB"/>
    <w:rsid w:val="005301CC"/>
    <w:rsid w:val="005304D0"/>
    <w:rsid w:val="0053064D"/>
    <w:rsid w:val="0053070A"/>
    <w:rsid w:val="005309BC"/>
    <w:rsid w:val="00530C8C"/>
    <w:rsid w:val="00530CB9"/>
    <w:rsid w:val="00530CBD"/>
    <w:rsid w:val="00530CEF"/>
    <w:rsid w:val="00530D6B"/>
    <w:rsid w:val="00530F3F"/>
    <w:rsid w:val="00530F72"/>
    <w:rsid w:val="00531244"/>
    <w:rsid w:val="00531843"/>
    <w:rsid w:val="0053196D"/>
    <w:rsid w:val="00531974"/>
    <w:rsid w:val="005319A1"/>
    <w:rsid w:val="00531BE4"/>
    <w:rsid w:val="00531C66"/>
    <w:rsid w:val="00531CB2"/>
    <w:rsid w:val="00531EC6"/>
    <w:rsid w:val="005321E2"/>
    <w:rsid w:val="00532428"/>
    <w:rsid w:val="005325DA"/>
    <w:rsid w:val="00532680"/>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AE2"/>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2D92"/>
    <w:rsid w:val="00543168"/>
    <w:rsid w:val="0054336A"/>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B37"/>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137"/>
    <w:rsid w:val="00547272"/>
    <w:rsid w:val="0054745E"/>
    <w:rsid w:val="005474CB"/>
    <w:rsid w:val="00547553"/>
    <w:rsid w:val="005476C3"/>
    <w:rsid w:val="0054785C"/>
    <w:rsid w:val="0054788F"/>
    <w:rsid w:val="00547999"/>
    <w:rsid w:val="00547B37"/>
    <w:rsid w:val="00547CCF"/>
    <w:rsid w:val="0055009E"/>
    <w:rsid w:val="005500EF"/>
    <w:rsid w:val="005501A1"/>
    <w:rsid w:val="00550622"/>
    <w:rsid w:val="005508E0"/>
    <w:rsid w:val="00550ACD"/>
    <w:rsid w:val="00550C45"/>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9E"/>
    <w:rsid w:val="005549E6"/>
    <w:rsid w:val="00554A12"/>
    <w:rsid w:val="00554A78"/>
    <w:rsid w:val="00554AA6"/>
    <w:rsid w:val="00554B1E"/>
    <w:rsid w:val="00554CA7"/>
    <w:rsid w:val="00554D76"/>
    <w:rsid w:val="00554DAD"/>
    <w:rsid w:val="00554E1A"/>
    <w:rsid w:val="00554EAD"/>
    <w:rsid w:val="00554FB4"/>
    <w:rsid w:val="00555003"/>
    <w:rsid w:val="00555282"/>
    <w:rsid w:val="005554DB"/>
    <w:rsid w:val="0055564D"/>
    <w:rsid w:val="0055573E"/>
    <w:rsid w:val="00555983"/>
    <w:rsid w:val="00555AD1"/>
    <w:rsid w:val="00555B51"/>
    <w:rsid w:val="00555C08"/>
    <w:rsid w:val="00555C5A"/>
    <w:rsid w:val="00555D9D"/>
    <w:rsid w:val="00555E34"/>
    <w:rsid w:val="00556145"/>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AEB"/>
    <w:rsid w:val="00557C6C"/>
    <w:rsid w:val="00557CC7"/>
    <w:rsid w:val="00557CD4"/>
    <w:rsid w:val="00557E9A"/>
    <w:rsid w:val="00557EAB"/>
    <w:rsid w:val="00557F54"/>
    <w:rsid w:val="00557F84"/>
    <w:rsid w:val="00557FAC"/>
    <w:rsid w:val="0056020E"/>
    <w:rsid w:val="00560281"/>
    <w:rsid w:val="005602B5"/>
    <w:rsid w:val="00560322"/>
    <w:rsid w:val="00560660"/>
    <w:rsid w:val="005609CE"/>
    <w:rsid w:val="00560B03"/>
    <w:rsid w:val="00560C6C"/>
    <w:rsid w:val="00560EE2"/>
    <w:rsid w:val="00560F5A"/>
    <w:rsid w:val="00561083"/>
    <w:rsid w:val="00561251"/>
    <w:rsid w:val="005614FE"/>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70186"/>
    <w:rsid w:val="00570245"/>
    <w:rsid w:val="00570407"/>
    <w:rsid w:val="00570527"/>
    <w:rsid w:val="0057052B"/>
    <w:rsid w:val="00570646"/>
    <w:rsid w:val="00570736"/>
    <w:rsid w:val="005709A6"/>
    <w:rsid w:val="00570A6A"/>
    <w:rsid w:val="00570F8D"/>
    <w:rsid w:val="00571492"/>
    <w:rsid w:val="00571543"/>
    <w:rsid w:val="00571649"/>
    <w:rsid w:val="005716F3"/>
    <w:rsid w:val="005718D1"/>
    <w:rsid w:val="00571BC0"/>
    <w:rsid w:val="00571D00"/>
    <w:rsid w:val="00571D45"/>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777"/>
    <w:rsid w:val="005739D9"/>
    <w:rsid w:val="00573AA1"/>
    <w:rsid w:val="00573C46"/>
    <w:rsid w:val="00573C8B"/>
    <w:rsid w:val="00573CE7"/>
    <w:rsid w:val="00573DC1"/>
    <w:rsid w:val="00573E45"/>
    <w:rsid w:val="00573E52"/>
    <w:rsid w:val="00573FA6"/>
    <w:rsid w:val="00573FC7"/>
    <w:rsid w:val="00574022"/>
    <w:rsid w:val="005741F0"/>
    <w:rsid w:val="0057426E"/>
    <w:rsid w:val="0057445A"/>
    <w:rsid w:val="00574929"/>
    <w:rsid w:val="00574B09"/>
    <w:rsid w:val="00574B8B"/>
    <w:rsid w:val="00574F0F"/>
    <w:rsid w:val="0057501C"/>
    <w:rsid w:val="00575122"/>
    <w:rsid w:val="005753FC"/>
    <w:rsid w:val="00575549"/>
    <w:rsid w:val="00575576"/>
    <w:rsid w:val="0057564C"/>
    <w:rsid w:val="0057587B"/>
    <w:rsid w:val="005758C2"/>
    <w:rsid w:val="00575A36"/>
    <w:rsid w:val="00575AB8"/>
    <w:rsid w:val="00575C14"/>
    <w:rsid w:val="0057611B"/>
    <w:rsid w:val="005764B9"/>
    <w:rsid w:val="005764CE"/>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AF0"/>
    <w:rsid w:val="00580C79"/>
    <w:rsid w:val="0058102B"/>
    <w:rsid w:val="00581090"/>
    <w:rsid w:val="005810FC"/>
    <w:rsid w:val="00581512"/>
    <w:rsid w:val="00581B07"/>
    <w:rsid w:val="00581D35"/>
    <w:rsid w:val="00581F6B"/>
    <w:rsid w:val="00582048"/>
    <w:rsid w:val="00582066"/>
    <w:rsid w:val="0058210F"/>
    <w:rsid w:val="00582178"/>
    <w:rsid w:val="005823CA"/>
    <w:rsid w:val="00582580"/>
    <w:rsid w:val="005825BB"/>
    <w:rsid w:val="005825EA"/>
    <w:rsid w:val="0058269F"/>
    <w:rsid w:val="005827D8"/>
    <w:rsid w:val="00582940"/>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C6"/>
    <w:rsid w:val="0058472F"/>
    <w:rsid w:val="005847A6"/>
    <w:rsid w:val="00584912"/>
    <w:rsid w:val="00584942"/>
    <w:rsid w:val="00584A14"/>
    <w:rsid w:val="00584A29"/>
    <w:rsid w:val="00584BE7"/>
    <w:rsid w:val="00584C71"/>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60"/>
    <w:rsid w:val="00586DD7"/>
    <w:rsid w:val="00586EB8"/>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4D4"/>
    <w:rsid w:val="0059057F"/>
    <w:rsid w:val="005906E9"/>
    <w:rsid w:val="00590751"/>
    <w:rsid w:val="005907E8"/>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9B0"/>
    <w:rsid w:val="00592A54"/>
    <w:rsid w:val="00592A88"/>
    <w:rsid w:val="00592BDA"/>
    <w:rsid w:val="00592CD8"/>
    <w:rsid w:val="00593028"/>
    <w:rsid w:val="005933EA"/>
    <w:rsid w:val="0059353C"/>
    <w:rsid w:val="0059365F"/>
    <w:rsid w:val="005936AE"/>
    <w:rsid w:val="005936AF"/>
    <w:rsid w:val="0059391A"/>
    <w:rsid w:val="005939C3"/>
    <w:rsid w:val="00593A1D"/>
    <w:rsid w:val="00593B5D"/>
    <w:rsid w:val="00593E2E"/>
    <w:rsid w:val="00594240"/>
    <w:rsid w:val="005942E5"/>
    <w:rsid w:val="00594348"/>
    <w:rsid w:val="00594370"/>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96C"/>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0C1"/>
    <w:rsid w:val="005A10CD"/>
    <w:rsid w:val="005A129B"/>
    <w:rsid w:val="005A152F"/>
    <w:rsid w:val="005A156E"/>
    <w:rsid w:val="005A1B1E"/>
    <w:rsid w:val="005A1C26"/>
    <w:rsid w:val="005A1C29"/>
    <w:rsid w:val="005A1C67"/>
    <w:rsid w:val="005A205D"/>
    <w:rsid w:val="005A21ED"/>
    <w:rsid w:val="005A22FB"/>
    <w:rsid w:val="005A2452"/>
    <w:rsid w:val="005A24F1"/>
    <w:rsid w:val="005A25C8"/>
    <w:rsid w:val="005A26DE"/>
    <w:rsid w:val="005A2862"/>
    <w:rsid w:val="005A28AA"/>
    <w:rsid w:val="005A2A19"/>
    <w:rsid w:val="005A2BA8"/>
    <w:rsid w:val="005A2C0F"/>
    <w:rsid w:val="005A2C24"/>
    <w:rsid w:val="005A30A5"/>
    <w:rsid w:val="005A30AF"/>
    <w:rsid w:val="005A328B"/>
    <w:rsid w:val="005A34BD"/>
    <w:rsid w:val="005A35D5"/>
    <w:rsid w:val="005A36ED"/>
    <w:rsid w:val="005A374D"/>
    <w:rsid w:val="005A377F"/>
    <w:rsid w:val="005A3965"/>
    <w:rsid w:val="005A3D52"/>
    <w:rsid w:val="005A3E77"/>
    <w:rsid w:val="005A3EDA"/>
    <w:rsid w:val="005A3F5C"/>
    <w:rsid w:val="005A3F89"/>
    <w:rsid w:val="005A4059"/>
    <w:rsid w:val="005A411A"/>
    <w:rsid w:val="005A4232"/>
    <w:rsid w:val="005A4292"/>
    <w:rsid w:val="005A42A7"/>
    <w:rsid w:val="005A4369"/>
    <w:rsid w:val="005A4382"/>
    <w:rsid w:val="005A455C"/>
    <w:rsid w:val="005A4588"/>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5F14"/>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96A"/>
    <w:rsid w:val="005B0DD5"/>
    <w:rsid w:val="005B0FBE"/>
    <w:rsid w:val="005B1072"/>
    <w:rsid w:val="005B10C4"/>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6A"/>
    <w:rsid w:val="005B7590"/>
    <w:rsid w:val="005B7684"/>
    <w:rsid w:val="005B784C"/>
    <w:rsid w:val="005B79EA"/>
    <w:rsid w:val="005B7A85"/>
    <w:rsid w:val="005B7B0D"/>
    <w:rsid w:val="005B7C47"/>
    <w:rsid w:val="005B7D68"/>
    <w:rsid w:val="005B7E5F"/>
    <w:rsid w:val="005B7ED5"/>
    <w:rsid w:val="005B7FF7"/>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5C9"/>
    <w:rsid w:val="005C3921"/>
    <w:rsid w:val="005C39B4"/>
    <w:rsid w:val="005C39C1"/>
    <w:rsid w:val="005C3B82"/>
    <w:rsid w:val="005C3B8E"/>
    <w:rsid w:val="005C3C9C"/>
    <w:rsid w:val="005C3D3D"/>
    <w:rsid w:val="005C3D65"/>
    <w:rsid w:val="005C3DAE"/>
    <w:rsid w:val="005C3EA0"/>
    <w:rsid w:val="005C3FC2"/>
    <w:rsid w:val="005C40C7"/>
    <w:rsid w:val="005C45E2"/>
    <w:rsid w:val="005C4609"/>
    <w:rsid w:val="005C489C"/>
    <w:rsid w:val="005C4944"/>
    <w:rsid w:val="005C4A01"/>
    <w:rsid w:val="005C4C7A"/>
    <w:rsid w:val="005C4D25"/>
    <w:rsid w:val="005C4EA2"/>
    <w:rsid w:val="005C5055"/>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C0E"/>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A60"/>
    <w:rsid w:val="005D1AC8"/>
    <w:rsid w:val="005D1B6B"/>
    <w:rsid w:val="005D1D1B"/>
    <w:rsid w:val="005D1DAC"/>
    <w:rsid w:val="005D1E4B"/>
    <w:rsid w:val="005D21A8"/>
    <w:rsid w:val="005D2242"/>
    <w:rsid w:val="005D22A7"/>
    <w:rsid w:val="005D22CF"/>
    <w:rsid w:val="005D23EA"/>
    <w:rsid w:val="005D2414"/>
    <w:rsid w:val="005D2435"/>
    <w:rsid w:val="005D2578"/>
    <w:rsid w:val="005D2784"/>
    <w:rsid w:val="005D2881"/>
    <w:rsid w:val="005D2A2D"/>
    <w:rsid w:val="005D2AB4"/>
    <w:rsid w:val="005D2B41"/>
    <w:rsid w:val="005D2B5C"/>
    <w:rsid w:val="005D2BE6"/>
    <w:rsid w:val="005D2C04"/>
    <w:rsid w:val="005D2CF9"/>
    <w:rsid w:val="005D2E26"/>
    <w:rsid w:val="005D2E91"/>
    <w:rsid w:val="005D2F79"/>
    <w:rsid w:val="005D2FD7"/>
    <w:rsid w:val="005D30A6"/>
    <w:rsid w:val="005D30ED"/>
    <w:rsid w:val="005D3109"/>
    <w:rsid w:val="005D31C9"/>
    <w:rsid w:val="005D32E7"/>
    <w:rsid w:val="005D354E"/>
    <w:rsid w:val="005D35B3"/>
    <w:rsid w:val="005D3683"/>
    <w:rsid w:val="005D38FB"/>
    <w:rsid w:val="005D3E5C"/>
    <w:rsid w:val="005D3FC7"/>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0E35"/>
    <w:rsid w:val="005E1076"/>
    <w:rsid w:val="005E10DC"/>
    <w:rsid w:val="005E1273"/>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6D9"/>
    <w:rsid w:val="005E27CE"/>
    <w:rsid w:val="005E2866"/>
    <w:rsid w:val="005E28B8"/>
    <w:rsid w:val="005E290C"/>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28D"/>
    <w:rsid w:val="005E5508"/>
    <w:rsid w:val="005E5785"/>
    <w:rsid w:val="005E59A8"/>
    <w:rsid w:val="005E5A4E"/>
    <w:rsid w:val="005E61B7"/>
    <w:rsid w:val="005E6204"/>
    <w:rsid w:val="005E64D8"/>
    <w:rsid w:val="005E6CC6"/>
    <w:rsid w:val="005E6E95"/>
    <w:rsid w:val="005E6F12"/>
    <w:rsid w:val="005E6F87"/>
    <w:rsid w:val="005E71C7"/>
    <w:rsid w:val="005E767C"/>
    <w:rsid w:val="005E7913"/>
    <w:rsid w:val="005E793D"/>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39C"/>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3F97"/>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FB"/>
    <w:rsid w:val="005F6D23"/>
    <w:rsid w:val="005F6DD5"/>
    <w:rsid w:val="005F7017"/>
    <w:rsid w:val="005F70E2"/>
    <w:rsid w:val="005F7157"/>
    <w:rsid w:val="005F7173"/>
    <w:rsid w:val="005F733C"/>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574"/>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5ED"/>
    <w:rsid w:val="006019E8"/>
    <w:rsid w:val="00601A33"/>
    <w:rsid w:val="00601CA4"/>
    <w:rsid w:val="0060209F"/>
    <w:rsid w:val="00602208"/>
    <w:rsid w:val="0060226D"/>
    <w:rsid w:val="00602547"/>
    <w:rsid w:val="0060254C"/>
    <w:rsid w:val="006025C5"/>
    <w:rsid w:val="0060298D"/>
    <w:rsid w:val="00602F7D"/>
    <w:rsid w:val="00603085"/>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98"/>
    <w:rsid w:val="00605FA0"/>
    <w:rsid w:val="00605FEB"/>
    <w:rsid w:val="006064DE"/>
    <w:rsid w:val="00606692"/>
    <w:rsid w:val="006067E1"/>
    <w:rsid w:val="006068D7"/>
    <w:rsid w:val="00606926"/>
    <w:rsid w:val="00606F7E"/>
    <w:rsid w:val="00607113"/>
    <w:rsid w:val="006073D1"/>
    <w:rsid w:val="0060743C"/>
    <w:rsid w:val="006075AB"/>
    <w:rsid w:val="006078D4"/>
    <w:rsid w:val="006079D9"/>
    <w:rsid w:val="006079DE"/>
    <w:rsid w:val="00607B47"/>
    <w:rsid w:val="00607B94"/>
    <w:rsid w:val="00607E8B"/>
    <w:rsid w:val="00607F6B"/>
    <w:rsid w:val="0061030D"/>
    <w:rsid w:val="0061060A"/>
    <w:rsid w:val="006106B8"/>
    <w:rsid w:val="00610758"/>
    <w:rsid w:val="0061083C"/>
    <w:rsid w:val="0061099D"/>
    <w:rsid w:val="00610B39"/>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2CB"/>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E2"/>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28"/>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18"/>
    <w:rsid w:val="00623C58"/>
    <w:rsid w:val="00623CD1"/>
    <w:rsid w:val="00623EA0"/>
    <w:rsid w:val="00623F6A"/>
    <w:rsid w:val="00623FA7"/>
    <w:rsid w:val="006243A7"/>
    <w:rsid w:val="006243FD"/>
    <w:rsid w:val="0062447B"/>
    <w:rsid w:val="0062484F"/>
    <w:rsid w:val="006248AB"/>
    <w:rsid w:val="00624A32"/>
    <w:rsid w:val="00624B49"/>
    <w:rsid w:val="00624BF7"/>
    <w:rsid w:val="00624CEA"/>
    <w:rsid w:val="00624E5F"/>
    <w:rsid w:val="00624FC2"/>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BE7"/>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BCB"/>
    <w:rsid w:val="00632C5F"/>
    <w:rsid w:val="0063309B"/>
    <w:rsid w:val="0063321E"/>
    <w:rsid w:val="00633383"/>
    <w:rsid w:val="006334C5"/>
    <w:rsid w:val="006334F0"/>
    <w:rsid w:val="0063381B"/>
    <w:rsid w:val="00633828"/>
    <w:rsid w:val="006338E8"/>
    <w:rsid w:val="00633980"/>
    <w:rsid w:val="006339D1"/>
    <w:rsid w:val="006339E0"/>
    <w:rsid w:val="00633A4F"/>
    <w:rsid w:val="00633B7A"/>
    <w:rsid w:val="00633E4B"/>
    <w:rsid w:val="0063401A"/>
    <w:rsid w:val="00634226"/>
    <w:rsid w:val="0063431E"/>
    <w:rsid w:val="00634340"/>
    <w:rsid w:val="006346F7"/>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2C5"/>
    <w:rsid w:val="0063735C"/>
    <w:rsid w:val="006373DA"/>
    <w:rsid w:val="00637498"/>
    <w:rsid w:val="00637505"/>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2BC"/>
    <w:rsid w:val="006422F6"/>
    <w:rsid w:val="0064231F"/>
    <w:rsid w:val="00642323"/>
    <w:rsid w:val="00642432"/>
    <w:rsid w:val="006424C6"/>
    <w:rsid w:val="0064259C"/>
    <w:rsid w:val="00642664"/>
    <w:rsid w:val="00642682"/>
    <w:rsid w:val="0064270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2B9"/>
    <w:rsid w:val="006454B5"/>
    <w:rsid w:val="006455AB"/>
    <w:rsid w:val="00645818"/>
    <w:rsid w:val="00645861"/>
    <w:rsid w:val="0064597D"/>
    <w:rsid w:val="00645D33"/>
    <w:rsid w:val="006460DD"/>
    <w:rsid w:val="00646458"/>
    <w:rsid w:val="006464DB"/>
    <w:rsid w:val="006465F1"/>
    <w:rsid w:val="00646831"/>
    <w:rsid w:val="0064695D"/>
    <w:rsid w:val="00646BAF"/>
    <w:rsid w:val="00646CA1"/>
    <w:rsid w:val="00646CDF"/>
    <w:rsid w:val="00646D09"/>
    <w:rsid w:val="00646D23"/>
    <w:rsid w:val="00646D87"/>
    <w:rsid w:val="00646F8F"/>
    <w:rsid w:val="00646F95"/>
    <w:rsid w:val="006471B0"/>
    <w:rsid w:val="006471E8"/>
    <w:rsid w:val="006472C6"/>
    <w:rsid w:val="00647420"/>
    <w:rsid w:val="0064788B"/>
    <w:rsid w:val="00647E1E"/>
    <w:rsid w:val="00647E4F"/>
    <w:rsid w:val="00647EEB"/>
    <w:rsid w:val="00647F46"/>
    <w:rsid w:val="00647F4D"/>
    <w:rsid w:val="00647F51"/>
    <w:rsid w:val="00647FBA"/>
    <w:rsid w:val="00647FDB"/>
    <w:rsid w:val="0065013B"/>
    <w:rsid w:val="0065055E"/>
    <w:rsid w:val="0065059A"/>
    <w:rsid w:val="0065078F"/>
    <w:rsid w:val="006507FE"/>
    <w:rsid w:val="0065092B"/>
    <w:rsid w:val="006509DF"/>
    <w:rsid w:val="00650CFB"/>
    <w:rsid w:val="00650D38"/>
    <w:rsid w:val="00650DB6"/>
    <w:rsid w:val="00650E18"/>
    <w:rsid w:val="00651058"/>
    <w:rsid w:val="0065120A"/>
    <w:rsid w:val="00651341"/>
    <w:rsid w:val="00651368"/>
    <w:rsid w:val="006513C4"/>
    <w:rsid w:val="006513D8"/>
    <w:rsid w:val="00651477"/>
    <w:rsid w:val="006515EE"/>
    <w:rsid w:val="00651612"/>
    <w:rsid w:val="00651916"/>
    <w:rsid w:val="00651F9F"/>
    <w:rsid w:val="00651FB2"/>
    <w:rsid w:val="00651FE3"/>
    <w:rsid w:val="00652491"/>
    <w:rsid w:val="00652800"/>
    <w:rsid w:val="006528D2"/>
    <w:rsid w:val="00652BCE"/>
    <w:rsid w:val="00652E41"/>
    <w:rsid w:val="00653325"/>
    <w:rsid w:val="0065333D"/>
    <w:rsid w:val="006533D7"/>
    <w:rsid w:val="00653462"/>
    <w:rsid w:val="00653530"/>
    <w:rsid w:val="006536F9"/>
    <w:rsid w:val="00653869"/>
    <w:rsid w:val="006538D7"/>
    <w:rsid w:val="00653907"/>
    <w:rsid w:val="00653AE3"/>
    <w:rsid w:val="00653B17"/>
    <w:rsid w:val="00653C6D"/>
    <w:rsid w:val="00653D29"/>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25"/>
    <w:rsid w:val="00655A97"/>
    <w:rsid w:val="00655AB5"/>
    <w:rsid w:val="00655C96"/>
    <w:rsid w:val="00655D24"/>
    <w:rsid w:val="00656298"/>
    <w:rsid w:val="00656435"/>
    <w:rsid w:val="00656462"/>
    <w:rsid w:val="00656512"/>
    <w:rsid w:val="0065652A"/>
    <w:rsid w:val="00656559"/>
    <w:rsid w:val="006565B3"/>
    <w:rsid w:val="006566B9"/>
    <w:rsid w:val="00656730"/>
    <w:rsid w:val="00656746"/>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57DFE"/>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A75"/>
    <w:rsid w:val="00661C37"/>
    <w:rsid w:val="00661CAA"/>
    <w:rsid w:val="00661EB9"/>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72"/>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67EEA"/>
    <w:rsid w:val="00670026"/>
    <w:rsid w:val="0067045D"/>
    <w:rsid w:val="00670523"/>
    <w:rsid w:val="006705F0"/>
    <w:rsid w:val="006706F6"/>
    <w:rsid w:val="006707CC"/>
    <w:rsid w:val="00670804"/>
    <w:rsid w:val="006709E3"/>
    <w:rsid w:val="00670A1C"/>
    <w:rsid w:val="00670B5A"/>
    <w:rsid w:val="00670B7C"/>
    <w:rsid w:val="00670BAE"/>
    <w:rsid w:val="00670BE3"/>
    <w:rsid w:val="00670C7D"/>
    <w:rsid w:val="00670CD8"/>
    <w:rsid w:val="00670D22"/>
    <w:rsid w:val="00670E91"/>
    <w:rsid w:val="006710D4"/>
    <w:rsid w:val="00671165"/>
    <w:rsid w:val="006711CE"/>
    <w:rsid w:val="00671283"/>
    <w:rsid w:val="00671622"/>
    <w:rsid w:val="006717DF"/>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41F"/>
    <w:rsid w:val="006765FF"/>
    <w:rsid w:val="00676A70"/>
    <w:rsid w:val="00676B69"/>
    <w:rsid w:val="00676D93"/>
    <w:rsid w:val="00676DC3"/>
    <w:rsid w:val="00676EBA"/>
    <w:rsid w:val="00676FDF"/>
    <w:rsid w:val="006770AA"/>
    <w:rsid w:val="00677212"/>
    <w:rsid w:val="00677310"/>
    <w:rsid w:val="00677370"/>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C2E"/>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58B"/>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C93"/>
    <w:rsid w:val="00686D34"/>
    <w:rsid w:val="00686F33"/>
    <w:rsid w:val="00686F7D"/>
    <w:rsid w:val="00687121"/>
    <w:rsid w:val="0068732F"/>
    <w:rsid w:val="00687532"/>
    <w:rsid w:val="0068756B"/>
    <w:rsid w:val="00687590"/>
    <w:rsid w:val="006875FD"/>
    <w:rsid w:val="0068764D"/>
    <w:rsid w:val="00687832"/>
    <w:rsid w:val="00687854"/>
    <w:rsid w:val="00687B0C"/>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1ECD"/>
    <w:rsid w:val="00692059"/>
    <w:rsid w:val="0069205A"/>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4B"/>
    <w:rsid w:val="0069436A"/>
    <w:rsid w:val="006943C5"/>
    <w:rsid w:val="00694405"/>
    <w:rsid w:val="00694476"/>
    <w:rsid w:val="006945B4"/>
    <w:rsid w:val="0069467A"/>
    <w:rsid w:val="006946EC"/>
    <w:rsid w:val="00694850"/>
    <w:rsid w:val="0069486A"/>
    <w:rsid w:val="006948CE"/>
    <w:rsid w:val="0069493B"/>
    <w:rsid w:val="00694A88"/>
    <w:rsid w:val="00694B35"/>
    <w:rsid w:val="00694B85"/>
    <w:rsid w:val="00694C8F"/>
    <w:rsid w:val="00694E31"/>
    <w:rsid w:val="00694F02"/>
    <w:rsid w:val="00694F13"/>
    <w:rsid w:val="00695456"/>
    <w:rsid w:val="00695616"/>
    <w:rsid w:val="0069577D"/>
    <w:rsid w:val="006959B5"/>
    <w:rsid w:val="006959EB"/>
    <w:rsid w:val="00695B0F"/>
    <w:rsid w:val="00695C5D"/>
    <w:rsid w:val="00695D6B"/>
    <w:rsid w:val="00695DCD"/>
    <w:rsid w:val="00695E1A"/>
    <w:rsid w:val="00695F0E"/>
    <w:rsid w:val="00695FE2"/>
    <w:rsid w:val="00696212"/>
    <w:rsid w:val="00696285"/>
    <w:rsid w:val="006965FD"/>
    <w:rsid w:val="006968D9"/>
    <w:rsid w:val="006969E3"/>
    <w:rsid w:val="00696A27"/>
    <w:rsid w:val="00696AA8"/>
    <w:rsid w:val="00696AF6"/>
    <w:rsid w:val="00696DD6"/>
    <w:rsid w:val="00696FBF"/>
    <w:rsid w:val="006971EC"/>
    <w:rsid w:val="00697277"/>
    <w:rsid w:val="006972A5"/>
    <w:rsid w:val="00697396"/>
    <w:rsid w:val="0069744E"/>
    <w:rsid w:val="00697622"/>
    <w:rsid w:val="00697790"/>
    <w:rsid w:val="006977FB"/>
    <w:rsid w:val="00697978"/>
    <w:rsid w:val="00697A84"/>
    <w:rsid w:val="00697B72"/>
    <w:rsid w:val="00697BC9"/>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49"/>
    <w:rsid w:val="006A1E65"/>
    <w:rsid w:val="006A20E3"/>
    <w:rsid w:val="006A2530"/>
    <w:rsid w:val="006A2796"/>
    <w:rsid w:val="006A28B0"/>
    <w:rsid w:val="006A2A12"/>
    <w:rsid w:val="006A2B42"/>
    <w:rsid w:val="006A2CE9"/>
    <w:rsid w:val="006A2F6D"/>
    <w:rsid w:val="006A2FDE"/>
    <w:rsid w:val="006A327E"/>
    <w:rsid w:val="006A3286"/>
    <w:rsid w:val="006A3397"/>
    <w:rsid w:val="006A33A0"/>
    <w:rsid w:val="006A347C"/>
    <w:rsid w:val="006A347D"/>
    <w:rsid w:val="006A34C5"/>
    <w:rsid w:val="006A34DE"/>
    <w:rsid w:val="006A3925"/>
    <w:rsid w:val="006A3970"/>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DAE"/>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255"/>
    <w:rsid w:val="006B054B"/>
    <w:rsid w:val="006B0BA6"/>
    <w:rsid w:val="006B0BD0"/>
    <w:rsid w:val="006B0DE1"/>
    <w:rsid w:val="006B0E74"/>
    <w:rsid w:val="006B112F"/>
    <w:rsid w:val="006B116F"/>
    <w:rsid w:val="006B12DE"/>
    <w:rsid w:val="006B13E6"/>
    <w:rsid w:val="006B1463"/>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150"/>
    <w:rsid w:val="006B7282"/>
    <w:rsid w:val="006B730D"/>
    <w:rsid w:val="006B731B"/>
    <w:rsid w:val="006B7439"/>
    <w:rsid w:val="006B75CB"/>
    <w:rsid w:val="006B7726"/>
    <w:rsid w:val="006B7833"/>
    <w:rsid w:val="006B791E"/>
    <w:rsid w:val="006B7D01"/>
    <w:rsid w:val="006B7D61"/>
    <w:rsid w:val="006B7DCC"/>
    <w:rsid w:val="006B7ED8"/>
    <w:rsid w:val="006B7F43"/>
    <w:rsid w:val="006C00C6"/>
    <w:rsid w:val="006C0190"/>
    <w:rsid w:val="006C01E5"/>
    <w:rsid w:val="006C02F2"/>
    <w:rsid w:val="006C03DE"/>
    <w:rsid w:val="006C0445"/>
    <w:rsid w:val="006C0487"/>
    <w:rsid w:val="006C0547"/>
    <w:rsid w:val="006C05E9"/>
    <w:rsid w:val="006C0976"/>
    <w:rsid w:val="006C09F2"/>
    <w:rsid w:val="006C0B58"/>
    <w:rsid w:val="006C0CCE"/>
    <w:rsid w:val="006C0EE6"/>
    <w:rsid w:val="006C0F46"/>
    <w:rsid w:val="006C1306"/>
    <w:rsid w:val="006C13B7"/>
    <w:rsid w:val="006C1408"/>
    <w:rsid w:val="006C157B"/>
    <w:rsid w:val="006C193F"/>
    <w:rsid w:val="006C1E28"/>
    <w:rsid w:val="006C1EB0"/>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D99"/>
    <w:rsid w:val="006C3E60"/>
    <w:rsid w:val="006C40B2"/>
    <w:rsid w:val="006C40E4"/>
    <w:rsid w:val="006C4193"/>
    <w:rsid w:val="006C4217"/>
    <w:rsid w:val="006C4308"/>
    <w:rsid w:val="006C43E5"/>
    <w:rsid w:val="006C4B24"/>
    <w:rsid w:val="006C4C0F"/>
    <w:rsid w:val="006C4E03"/>
    <w:rsid w:val="006C524B"/>
    <w:rsid w:val="006C56C7"/>
    <w:rsid w:val="006C58C4"/>
    <w:rsid w:val="006C59BD"/>
    <w:rsid w:val="006C5BE9"/>
    <w:rsid w:val="006C5C4A"/>
    <w:rsid w:val="006C5FA0"/>
    <w:rsid w:val="006C61CC"/>
    <w:rsid w:val="006C61FE"/>
    <w:rsid w:val="006C6208"/>
    <w:rsid w:val="006C62D0"/>
    <w:rsid w:val="006C63E2"/>
    <w:rsid w:val="006C6543"/>
    <w:rsid w:val="006C6657"/>
    <w:rsid w:val="006C6A55"/>
    <w:rsid w:val="006C6A96"/>
    <w:rsid w:val="006C6B65"/>
    <w:rsid w:val="006C6CE3"/>
    <w:rsid w:val="006C6E16"/>
    <w:rsid w:val="006C6E42"/>
    <w:rsid w:val="006C6FA9"/>
    <w:rsid w:val="006C7124"/>
    <w:rsid w:val="006C73BB"/>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6E3"/>
    <w:rsid w:val="006D181D"/>
    <w:rsid w:val="006D19F7"/>
    <w:rsid w:val="006D1D0F"/>
    <w:rsid w:val="006D1DF5"/>
    <w:rsid w:val="006D1E02"/>
    <w:rsid w:val="006D1E15"/>
    <w:rsid w:val="006D1E5C"/>
    <w:rsid w:val="006D2180"/>
    <w:rsid w:val="006D22BA"/>
    <w:rsid w:val="006D2490"/>
    <w:rsid w:val="006D25C9"/>
    <w:rsid w:val="006D270C"/>
    <w:rsid w:val="006D27FD"/>
    <w:rsid w:val="006D2A72"/>
    <w:rsid w:val="006D2B6C"/>
    <w:rsid w:val="006D2D01"/>
    <w:rsid w:val="006D2D07"/>
    <w:rsid w:val="006D2DDC"/>
    <w:rsid w:val="006D3288"/>
    <w:rsid w:val="006D354D"/>
    <w:rsid w:val="006D361E"/>
    <w:rsid w:val="006D3883"/>
    <w:rsid w:val="006D3886"/>
    <w:rsid w:val="006D392B"/>
    <w:rsid w:val="006D396D"/>
    <w:rsid w:val="006D398C"/>
    <w:rsid w:val="006D398D"/>
    <w:rsid w:val="006D39AD"/>
    <w:rsid w:val="006D39E9"/>
    <w:rsid w:val="006D3CD9"/>
    <w:rsid w:val="006D3D7B"/>
    <w:rsid w:val="006D3F14"/>
    <w:rsid w:val="006D3FBC"/>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F07"/>
    <w:rsid w:val="006D5F55"/>
    <w:rsid w:val="006D5FDC"/>
    <w:rsid w:val="006D610E"/>
    <w:rsid w:val="006D6149"/>
    <w:rsid w:val="006D62DA"/>
    <w:rsid w:val="006D6322"/>
    <w:rsid w:val="006D63FF"/>
    <w:rsid w:val="006D6768"/>
    <w:rsid w:val="006D684F"/>
    <w:rsid w:val="006D6B53"/>
    <w:rsid w:val="006D6B98"/>
    <w:rsid w:val="006D6C5D"/>
    <w:rsid w:val="006D6FC7"/>
    <w:rsid w:val="006D7213"/>
    <w:rsid w:val="006D7687"/>
    <w:rsid w:val="006D7DC5"/>
    <w:rsid w:val="006D7E9A"/>
    <w:rsid w:val="006D7EF5"/>
    <w:rsid w:val="006D7F1D"/>
    <w:rsid w:val="006D7F3A"/>
    <w:rsid w:val="006D7FD2"/>
    <w:rsid w:val="006E0065"/>
    <w:rsid w:val="006E0282"/>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C4"/>
    <w:rsid w:val="006E26DC"/>
    <w:rsid w:val="006E26DF"/>
    <w:rsid w:val="006E2AE7"/>
    <w:rsid w:val="006E2B20"/>
    <w:rsid w:val="006E2B7F"/>
    <w:rsid w:val="006E2BC0"/>
    <w:rsid w:val="006E2F40"/>
    <w:rsid w:val="006E2F42"/>
    <w:rsid w:val="006E305C"/>
    <w:rsid w:val="006E3086"/>
    <w:rsid w:val="006E32FF"/>
    <w:rsid w:val="006E33BE"/>
    <w:rsid w:val="006E376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A4D"/>
    <w:rsid w:val="006E4B7A"/>
    <w:rsid w:val="006E4BF2"/>
    <w:rsid w:val="006E5032"/>
    <w:rsid w:val="006E50BC"/>
    <w:rsid w:val="006E50CF"/>
    <w:rsid w:val="006E53DB"/>
    <w:rsid w:val="006E54C3"/>
    <w:rsid w:val="006E583C"/>
    <w:rsid w:val="006E59BA"/>
    <w:rsid w:val="006E5B42"/>
    <w:rsid w:val="006E5C87"/>
    <w:rsid w:val="006E5CA2"/>
    <w:rsid w:val="006E5CAA"/>
    <w:rsid w:val="006E6085"/>
    <w:rsid w:val="006E6124"/>
    <w:rsid w:val="006E6674"/>
    <w:rsid w:val="006E66E4"/>
    <w:rsid w:val="006E67CD"/>
    <w:rsid w:val="006E686C"/>
    <w:rsid w:val="006E6894"/>
    <w:rsid w:val="006E689A"/>
    <w:rsid w:val="006E6AD2"/>
    <w:rsid w:val="006E6AE3"/>
    <w:rsid w:val="006E6B39"/>
    <w:rsid w:val="006E6D21"/>
    <w:rsid w:val="006E6D4E"/>
    <w:rsid w:val="006E7215"/>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2B5"/>
    <w:rsid w:val="006F235E"/>
    <w:rsid w:val="006F2386"/>
    <w:rsid w:val="006F2565"/>
    <w:rsid w:val="006F288B"/>
    <w:rsid w:val="006F2901"/>
    <w:rsid w:val="006F2EF2"/>
    <w:rsid w:val="006F2F50"/>
    <w:rsid w:val="006F3167"/>
    <w:rsid w:val="006F31B3"/>
    <w:rsid w:val="006F32AF"/>
    <w:rsid w:val="006F3412"/>
    <w:rsid w:val="006F342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924"/>
    <w:rsid w:val="006F5D3A"/>
    <w:rsid w:val="006F5D42"/>
    <w:rsid w:val="006F5DC9"/>
    <w:rsid w:val="006F5F19"/>
    <w:rsid w:val="006F5F88"/>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970"/>
    <w:rsid w:val="006F7ADA"/>
    <w:rsid w:val="006F7F16"/>
    <w:rsid w:val="006F7FDF"/>
    <w:rsid w:val="00700006"/>
    <w:rsid w:val="007000F6"/>
    <w:rsid w:val="0070019E"/>
    <w:rsid w:val="0070034B"/>
    <w:rsid w:val="0070050B"/>
    <w:rsid w:val="00700692"/>
    <w:rsid w:val="00700AF3"/>
    <w:rsid w:val="00700BE2"/>
    <w:rsid w:val="00700DFC"/>
    <w:rsid w:val="0070111B"/>
    <w:rsid w:val="007011F1"/>
    <w:rsid w:val="00701245"/>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08B"/>
    <w:rsid w:val="007031BA"/>
    <w:rsid w:val="00703241"/>
    <w:rsid w:val="007032FA"/>
    <w:rsid w:val="00703478"/>
    <w:rsid w:val="00703709"/>
    <w:rsid w:val="00703B7B"/>
    <w:rsid w:val="00703CB7"/>
    <w:rsid w:val="00703D9B"/>
    <w:rsid w:val="00703F05"/>
    <w:rsid w:val="00703F1B"/>
    <w:rsid w:val="00704165"/>
    <w:rsid w:val="00704336"/>
    <w:rsid w:val="0070444D"/>
    <w:rsid w:val="00704827"/>
    <w:rsid w:val="00704A8F"/>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54E"/>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32"/>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7F3"/>
    <w:rsid w:val="00714980"/>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B08"/>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35A"/>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3B2"/>
    <w:rsid w:val="0073149B"/>
    <w:rsid w:val="00731554"/>
    <w:rsid w:val="007316DF"/>
    <w:rsid w:val="007319B6"/>
    <w:rsid w:val="007319D5"/>
    <w:rsid w:val="00731BE5"/>
    <w:rsid w:val="00731FA7"/>
    <w:rsid w:val="007320A6"/>
    <w:rsid w:val="00732BD9"/>
    <w:rsid w:val="00732E28"/>
    <w:rsid w:val="00733013"/>
    <w:rsid w:val="00733073"/>
    <w:rsid w:val="00733103"/>
    <w:rsid w:val="007331A5"/>
    <w:rsid w:val="00733227"/>
    <w:rsid w:val="00733287"/>
    <w:rsid w:val="00733345"/>
    <w:rsid w:val="00733407"/>
    <w:rsid w:val="0073352B"/>
    <w:rsid w:val="00733865"/>
    <w:rsid w:val="007339A5"/>
    <w:rsid w:val="00733ACF"/>
    <w:rsid w:val="00733BDE"/>
    <w:rsid w:val="00733D85"/>
    <w:rsid w:val="00733E1F"/>
    <w:rsid w:val="00733F44"/>
    <w:rsid w:val="00734092"/>
    <w:rsid w:val="00734723"/>
    <w:rsid w:val="007347BA"/>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12D"/>
    <w:rsid w:val="0073727D"/>
    <w:rsid w:val="0073730A"/>
    <w:rsid w:val="00737577"/>
    <w:rsid w:val="007376D2"/>
    <w:rsid w:val="007376F7"/>
    <w:rsid w:val="007376FB"/>
    <w:rsid w:val="007378BA"/>
    <w:rsid w:val="007379AD"/>
    <w:rsid w:val="007379E9"/>
    <w:rsid w:val="00737E20"/>
    <w:rsid w:val="00737F3C"/>
    <w:rsid w:val="00740599"/>
    <w:rsid w:val="0074072A"/>
    <w:rsid w:val="007407DB"/>
    <w:rsid w:val="00740925"/>
    <w:rsid w:val="0074099F"/>
    <w:rsid w:val="00740A55"/>
    <w:rsid w:val="00740C3B"/>
    <w:rsid w:val="00740CAB"/>
    <w:rsid w:val="00740FB3"/>
    <w:rsid w:val="00741037"/>
    <w:rsid w:val="00741056"/>
    <w:rsid w:val="00741060"/>
    <w:rsid w:val="007410E5"/>
    <w:rsid w:val="00741106"/>
    <w:rsid w:val="0074126A"/>
    <w:rsid w:val="007413BD"/>
    <w:rsid w:val="0074147B"/>
    <w:rsid w:val="00741594"/>
    <w:rsid w:val="0074159D"/>
    <w:rsid w:val="007415FA"/>
    <w:rsid w:val="00741714"/>
    <w:rsid w:val="00741815"/>
    <w:rsid w:val="00741994"/>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61"/>
    <w:rsid w:val="00745273"/>
    <w:rsid w:val="007452B0"/>
    <w:rsid w:val="00745339"/>
    <w:rsid w:val="00745347"/>
    <w:rsid w:val="007453A6"/>
    <w:rsid w:val="0074553B"/>
    <w:rsid w:val="007455B4"/>
    <w:rsid w:val="007455F3"/>
    <w:rsid w:val="007456A0"/>
    <w:rsid w:val="00745BDC"/>
    <w:rsid w:val="00745C3F"/>
    <w:rsid w:val="00745F32"/>
    <w:rsid w:val="007461DC"/>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10"/>
    <w:rsid w:val="00746EAF"/>
    <w:rsid w:val="007474A2"/>
    <w:rsid w:val="007474F4"/>
    <w:rsid w:val="00747689"/>
    <w:rsid w:val="00747A3D"/>
    <w:rsid w:val="00747CE1"/>
    <w:rsid w:val="00747D16"/>
    <w:rsid w:val="00747F1C"/>
    <w:rsid w:val="0075000C"/>
    <w:rsid w:val="0075004D"/>
    <w:rsid w:val="007502CA"/>
    <w:rsid w:val="007503B9"/>
    <w:rsid w:val="007505AA"/>
    <w:rsid w:val="007506A6"/>
    <w:rsid w:val="007506E8"/>
    <w:rsid w:val="0075072D"/>
    <w:rsid w:val="007509BD"/>
    <w:rsid w:val="00750C73"/>
    <w:rsid w:val="00750D82"/>
    <w:rsid w:val="00750EDE"/>
    <w:rsid w:val="00750F75"/>
    <w:rsid w:val="007512F6"/>
    <w:rsid w:val="00751369"/>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3D58"/>
    <w:rsid w:val="00753F06"/>
    <w:rsid w:val="0075402D"/>
    <w:rsid w:val="00754097"/>
    <w:rsid w:val="0075410E"/>
    <w:rsid w:val="007542B6"/>
    <w:rsid w:val="007544FA"/>
    <w:rsid w:val="007546FF"/>
    <w:rsid w:val="0075479C"/>
    <w:rsid w:val="00754CAA"/>
    <w:rsid w:val="00754DCD"/>
    <w:rsid w:val="00754FEF"/>
    <w:rsid w:val="007551AC"/>
    <w:rsid w:val="007551B3"/>
    <w:rsid w:val="00755405"/>
    <w:rsid w:val="007554B2"/>
    <w:rsid w:val="00755642"/>
    <w:rsid w:val="007557C0"/>
    <w:rsid w:val="00755901"/>
    <w:rsid w:val="00755B04"/>
    <w:rsid w:val="00755B67"/>
    <w:rsid w:val="00755D2C"/>
    <w:rsid w:val="00755DF1"/>
    <w:rsid w:val="00755FDE"/>
    <w:rsid w:val="007563A8"/>
    <w:rsid w:val="007564BB"/>
    <w:rsid w:val="0075670E"/>
    <w:rsid w:val="0075677B"/>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74"/>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0"/>
    <w:rsid w:val="00763AE8"/>
    <w:rsid w:val="00763C7B"/>
    <w:rsid w:val="00763E11"/>
    <w:rsid w:val="00763EDA"/>
    <w:rsid w:val="00763EE8"/>
    <w:rsid w:val="00763FC7"/>
    <w:rsid w:val="007642C7"/>
    <w:rsid w:val="0076485D"/>
    <w:rsid w:val="00764BBA"/>
    <w:rsid w:val="00764C27"/>
    <w:rsid w:val="00764E9F"/>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6"/>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8B0"/>
    <w:rsid w:val="00771A94"/>
    <w:rsid w:val="00771B4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EC8"/>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68C"/>
    <w:rsid w:val="00776885"/>
    <w:rsid w:val="007768F3"/>
    <w:rsid w:val="00776B4A"/>
    <w:rsid w:val="00776B60"/>
    <w:rsid w:val="00776BFA"/>
    <w:rsid w:val="00776D40"/>
    <w:rsid w:val="00776D6A"/>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4F7"/>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9B"/>
    <w:rsid w:val="007831B3"/>
    <w:rsid w:val="0078321C"/>
    <w:rsid w:val="00783551"/>
    <w:rsid w:val="00783B5C"/>
    <w:rsid w:val="00783C68"/>
    <w:rsid w:val="00783D80"/>
    <w:rsid w:val="00783F0F"/>
    <w:rsid w:val="007840C1"/>
    <w:rsid w:val="00784304"/>
    <w:rsid w:val="00784342"/>
    <w:rsid w:val="00784407"/>
    <w:rsid w:val="007844B9"/>
    <w:rsid w:val="00784899"/>
    <w:rsid w:val="00784969"/>
    <w:rsid w:val="00784982"/>
    <w:rsid w:val="00784B31"/>
    <w:rsid w:val="00784B44"/>
    <w:rsid w:val="00784E22"/>
    <w:rsid w:val="007850A5"/>
    <w:rsid w:val="00785347"/>
    <w:rsid w:val="00785436"/>
    <w:rsid w:val="00785511"/>
    <w:rsid w:val="007855B9"/>
    <w:rsid w:val="007856B4"/>
    <w:rsid w:val="0078572C"/>
    <w:rsid w:val="00785739"/>
    <w:rsid w:val="007857CB"/>
    <w:rsid w:val="007858F5"/>
    <w:rsid w:val="00785989"/>
    <w:rsid w:val="00785A02"/>
    <w:rsid w:val="00785CBD"/>
    <w:rsid w:val="00785CDB"/>
    <w:rsid w:val="00785D8E"/>
    <w:rsid w:val="00785E42"/>
    <w:rsid w:val="00785EA1"/>
    <w:rsid w:val="0078631A"/>
    <w:rsid w:val="0078669C"/>
    <w:rsid w:val="007866BF"/>
    <w:rsid w:val="0078685F"/>
    <w:rsid w:val="00786961"/>
    <w:rsid w:val="00786C62"/>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4E"/>
    <w:rsid w:val="00790BFE"/>
    <w:rsid w:val="00790F89"/>
    <w:rsid w:val="0079106C"/>
    <w:rsid w:val="00791073"/>
    <w:rsid w:val="0079112F"/>
    <w:rsid w:val="007911CC"/>
    <w:rsid w:val="007912E2"/>
    <w:rsid w:val="0079140B"/>
    <w:rsid w:val="007914E5"/>
    <w:rsid w:val="00791755"/>
    <w:rsid w:val="007917BF"/>
    <w:rsid w:val="00791A79"/>
    <w:rsid w:val="00791FA3"/>
    <w:rsid w:val="00792263"/>
    <w:rsid w:val="007922F8"/>
    <w:rsid w:val="00792317"/>
    <w:rsid w:val="00792380"/>
    <w:rsid w:val="00792448"/>
    <w:rsid w:val="00792467"/>
    <w:rsid w:val="0079253A"/>
    <w:rsid w:val="0079283E"/>
    <w:rsid w:val="00792A99"/>
    <w:rsid w:val="00792AF2"/>
    <w:rsid w:val="00792CD6"/>
    <w:rsid w:val="007931BA"/>
    <w:rsid w:val="007931F4"/>
    <w:rsid w:val="007932B3"/>
    <w:rsid w:val="00793483"/>
    <w:rsid w:val="0079368A"/>
    <w:rsid w:val="007936F3"/>
    <w:rsid w:val="007936F7"/>
    <w:rsid w:val="00793720"/>
    <w:rsid w:val="007937FE"/>
    <w:rsid w:val="00793918"/>
    <w:rsid w:val="0079442D"/>
    <w:rsid w:val="00794441"/>
    <w:rsid w:val="00794BB8"/>
    <w:rsid w:val="00794BD1"/>
    <w:rsid w:val="00794E35"/>
    <w:rsid w:val="00794E4F"/>
    <w:rsid w:val="00794FB4"/>
    <w:rsid w:val="00795120"/>
    <w:rsid w:val="007955C0"/>
    <w:rsid w:val="00795693"/>
    <w:rsid w:val="007956B8"/>
    <w:rsid w:val="007956CC"/>
    <w:rsid w:val="00795868"/>
    <w:rsid w:val="00795A72"/>
    <w:rsid w:val="00795B98"/>
    <w:rsid w:val="00795CBB"/>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4BA"/>
    <w:rsid w:val="00797506"/>
    <w:rsid w:val="0079754D"/>
    <w:rsid w:val="0079761C"/>
    <w:rsid w:val="00797639"/>
    <w:rsid w:val="00797693"/>
    <w:rsid w:val="00797A7B"/>
    <w:rsid w:val="00797A9A"/>
    <w:rsid w:val="00797D98"/>
    <w:rsid w:val="00797F5A"/>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618"/>
    <w:rsid w:val="007A3895"/>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C66"/>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44"/>
    <w:rsid w:val="007B05A4"/>
    <w:rsid w:val="007B0667"/>
    <w:rsid w:val="007B09B8"/>
    <w:rsid w:val="007B09CB"/>
    <w:rsid w:val="007B0AC1"/>
    <w:rsid w:val="007B0B0A"/>
    <w:rsid w:val="007B0E50"/>
    <w:rsid w:val="007B0E59"/>
    <w:rsid w:val="007B0E8C"/>
    <w:rsid w:val="007B0F35"/>
    <w:rsid w:val="007B1180"/>
    <w:rsid w:val="007B135F"/>
    <w:rsid w:val="007B137B"/>
    <w:rsid w:val="007B14DA"/>
    <w:rsid w:val="007B159E"/>
    <w:rsid w:val="007B15AF"/>
    <w:rsid w:val="007B15FA"/>
    <w:rsid w:val="007B167B"/>
    <w:rsid w:val="007B16B7"/>
    <w:rsid w:val="007B1A94"/>
    <w:rsid w:val="007B1C93"/>
    <w:rsid w:val="007B1FDC"/>
    <w:rsid w:val="007B2187"/>
    <w:rsid w:val="007B2209"/>
    <w:rsid w:val="007B2270"/>
    <w:rsid w:val="007B2463"/>
    <w:rsid w:val="007B246E"/>
    <w:rsid w:val="007B2610"/>
    <w:rsid w:val="007B275C"/>
    <w:rsid w:val="007B2A20"/>
    <w:rsid w:val="007B2B5C"/>
    <w:rsid w:val="007B2C94"/>
    <w:rsid w:val="007B2EA7"/>
    <w:rsid w:val="007B2F71"/>
    <w:rsid w:val="007B3022"/>
    <w:rsid w:val="007B30C6"/>
    <w:rsid w:val="007B3116"/>
    <w:rsid w:val="007B32F9"/>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47"/>
    <w:rsid w:val="007B5967"/>
    <w:rsid w:val="007B5C8F"/>
    <w:rsid w:val="007B5CF5"/>
    <w:rsid w:val="007B5DA7"/>
    <w:rsid w:val="007B5EFF"/>
    <w:rsid w:val="007B6720"/>
    <w:rsid w:val="007B6722"/>
    <w:rsid w:val="007B697D"/>
    <w:rsid w:val="007B6B94"/>
    <w:rsid w:val="007B6D40"/>
    <w:rsid w:val="007B6D6F"/>
    <w:rsid w:val="007B6F8E"/>
    <w:rsid w:val="007B6FBF"/>
    <w:rsid w:val="007B7083"/>
    <w:rsid w:val="007B7116"/>
    <w:rsid w:val="007B7148"/>
    <w:rsid w:val="007B72D4"/>
    <w:rsid w:val="007B72E8"/>
    <w:rsid w:val="007B736F"/>
    <w:rsid w:val="007B744C"/>
    <w:rsid w:val="007B74A0"/>
    <w:rsid w:val="007B74F1"/>
    <w:rsid w:val="007B75EB"/>
    <w:rsid w:val="007B767D"/>
    <w:rsid w:val="007B7C8D"/>
    <w:rsid w:val="007B7DF2"/>
    <w:rsid w:val="007B7E5D"/>
    <w:rsid w:val="007C041A"/>
    <w:rsid w:val="007C04EF"/>
    <w:rsid w:val="007C055D"/>
    <w:rsid w:val="007C06BD"/>
    <w:rsid w:val="007C08BD"/>
    <w:rsid w:val="007C0E60"/>
    <w:rsid w:val="007C0EDD"/>
    <w:rsid w:val="007C120C"/>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8FE"/>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5E95"/>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C7F57"/>
    <w:rsid w:val="007D0031"/>
    <w:rsid w:val="007D004F"/>
    <w:rsid w:val="007D0471"/>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81"/>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C3"/>
    <w:rsid w:val="007D442A"/>
    <w:rsid w:val="007D4696"/>
    <w:rsid w:val="007D47FB"/>
    <w:rsid w:val="007D4827"/>
    <w:rsid w:val="007D49A4"/>
    <w:rsid w:val="007D49BB"/>
    <w:rsid w:val="007D4C79"/>
    <w:rsid w:val="007D4CDD"/>
    <w:rsid w:val="007D4DB1"/>
    <w:rsid w:val="007D4DCC"/>
    <w:rsid w:val="007D4DEC"/>
    <w:rsid w:val="007D505A"/>
    <w:rsid w:val="007D54F5"/>
    <w:rsid w:val="007D553F"/>
    <w:rsid w:val="007D583D"/>
    <w:rsid w:val="007D588F"/>
    <w:rsid w:val="007D5AF1"/>
    <w:rsid w:val="007D5BC6"/>
    <w:rsid w:val="007D5CB7"/>
    <w:rsid w:val="007D5D7C"/>
    <w:rsid w:val="007D5DEF"/>
    <w:rsid w:val="007D5E0A"/>
    <w:rsid w:val="007D5EF8"/>
    <w:rsid w:val="007D63E2"/>
    <w:rsid w:val="007D6499"/>
    <w:rsid w:val="007D64D9"/>
    <w:rsid w:val="007D6639"/>
    <w:rsid w:val="007D6657"/>
    <w:rsid w:val="007D6678"/>
    <w:rsid w:val="007D6765"/>
    <w:rsid w:val="007D6AB9"/>
    <w:rsid w:val="007D6B75"/>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4BC"/>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3FB1"/>
    <w:rsid w:val="007E421F"/>
    <w:rsid w:val="007E4609"/>
    <w:rsid w:val="007E4732"/>
    <w:rsid w:val="007E4B12"/>
    <w:rsid w:val="007E4BDD"/>
    <w:rsid w:val="007E4F12"/>
    <w:rsid w:val="007E543E"/>
    <w:rsid w:val="007E54A1"/>
    <w:rsid w:val="007E5688"/>
    <w:rsid w:val="007E5872"/>
    <w:rsid w:val="007E5C17"/>
    <w:rsid w:val="007E62EE"/>
    <w:rsid w:val="007E6708"/>
    <w:rsid w:val="007E6753"/>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79D"/>
    <w:rsid w:val="007F1803"/>
    <w:rsid w:val="007F1A94"/>
    <w:rsid w:val="007F1AFB"/>
    <w:rsid w:val="007F1CF0"/>
    <w:rsid w:val="007F1E49"/>
    <w:rsid w:val="007F1EFB"/>
    <w:rsid w:val="007F235D"/>
    <w:rsid w:val="007F248C"/>
    <w:rsid w:val="007F2650"/>
    <w:rsid w:val="007F26B6"/>
    <w:rsid w:val="007F2759"/>
    <w:rsid w:val="007F27D4"/>
    <w:rsid w:val="007F2B4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25C"/>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1E93"/>
    <w:rsid w:val="00802047"/>
    <w:rsid w:val="00802086"/>
    <w:rsid w:val="00802215"/>
    <w:rsid w:val="00802274"/>
    <w:rsid w:val="008022D3"/>
    <w:rsid w:val="008027D2"/>
    <w:rsid w:val="008027FE"/>
    <w:rsid w:val="00802A08"/>
    <w:rsid w:val="00802FEF"/>
    <w:rsid w:val="00803155"/>
    <w:rsid w:val="00803517"/>
    <w:rsid w:val="0080367D"/>
    <w:rsid w:val="00803756"/>
    <w:rsid w:val="00803820"/>
    <w:rsid w:val="00803910"/>
    <w:rsid w:val="00803ADF"/>
    <w:rsid w:val="00803AFC"/>
    <w:rsid w:val="00803BC3"/>
    <w:rsid w:val="00803C77"/>
    <w:rsid w:val="00803CFA"/>
    <w:rsid w:val="00803E87"/>
    <w:rsid w:val="00804008"/>
    <w:rsid w:val="0080416B"/>
    <w:rsid w:val="0080449F"/>
    <w:rsid w:val="008044B5"/>
    <w:rsid w:val="008045CF"/>
    <w:rsid w:val="00804674"/>
    <w:rsid w:val="0080475D"/>
    <w:rsid w:val="0080487B"/>
    <w:rsid w:val="00804A7D"/>
    <w:rsid w:val="00804C8B"/>
    <w:rsid w:val="00804D21"/>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015"/>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81F"/>
    <w:rsid w:val="00813931"/>
    <w:rsid w:val="008139A5"/>
    <w:rsid w:val="00813ABD"/>
    <w:rsid w:val="00813D83"/>
    <w:rsid w:val="00813FF6"/>
    <w:rsid w:val="00814156"/>
    <w:rsid w:val="00814242"/>
    <w:rsid w:val="00814253"/>
    <w:rsid w:val="0081430C"/>
    <w:rsid w:val="00814378"/>
    <w:rsid w:val="0081444A"/>
    <w:rsid w:val="008144ED"/>
    <w:rsid w:val="00814511"/>
    <w:rsid w:val="00814531"/>
    <w:rsid w:val="00814555"/>
    <w:rsid w:val="00814870"/>
    <w:rsid w:val="008148E3"/>
    <w:rsid w:val="00814910"/>
    <w:rsid w:val="00814922"/>
    <w:rsid w:val="008149BF"/>
    <w:rsid w:val="00814C8C"/>
    <w:rsid w:val="00814D7F"/>
    <w:rsid w:val="00814DD0"/>
    <w:rsid w:val="00814EFA"/>
    <w:rsid w:val="008150E9"/>
    <w:rsid w:val="008153BA"/>
    <w:rsid w:val="008155B9"/>
    <w:rsid w:val="00815716"/>
    <w:rsid w:val="008157A9"/>
    <w:rsid w:val="00815A82"/>
    <w:rsid w:val="00815E87"/>
    <w:rsid w:val="00816065"/>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C32"/>
    <w:rsid w:val="00817DFB"/>
    <w:rsid w:val="00817E59"/>
    <w:rsid w:val="00817F6C"/>
    <w:rsid w:val="008204D1"/>
    <w:rsid w:val="00820669"/>
    <w:rsid w:val="00820689"/>
    <w:rsid w:val="008207A2"/>
    <w:rsid w:val="008207C9"/>
    <w:rsid w:val="00820861"/>
    <w:rsid w:val="00820AB0"/>
    <w:rsid w:val="00820C77"/>
    <w:rsid w:val="00820D40"/>
    <w:rsid w:val="00820FD5"/>
    <w:rsid w:val="00821290"/>
    <w:rsid w:val="008212A1"/>
    <w:rsid w:val="0082158C"/>
    <w:rsid w:val="00821799"/>
    <w:rsid w:val="00821825"/>
    <w:rsid w:val="00821832"/>
    <w:rsid w:val="00821CAD"/>
    <w:rsid w:val="00821D6C"/>
    <w:rsid w:val="0082206F"/>
    <w:rsid w:val="008220FE"/>
    <w:rsid w:val="008221BF"/>
    <w:rsid w:val="0082256D"/>
    <w:rsid w:val="008225EB"/>
    <w:rsid w:val="008229C3"/>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788"/>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6C"/>
    <w:rsid w:val="008263B0"/>
    <w:rsid w:val="008264C6"/>
    <w:rsid w:val="008266B4"/>
    <w:rsid w:val="008266E9"/>
    <w:rsid w:val="0082675E"/>
    <w:rsid w:val="00826975"/>
    <w:rsid w:val="00826BDE"/>
    <w:rsid w:val="00826DBC"/>
    <w:rsid w:val="00827178"/>
    <w:rsid w:val="008272B6"/>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500"/>
    <w:rsid w:val="008327A4"/>
    <w:rsid w:val="00832852"/>
    <w:rsid w:val="008328EE"/>
    <w:rsid w:val="008329A4"/>
    <w:rsid w:val="00832A06"/>
    <w:rsid w:val="00832C0D"/>
    <w:rsid w:val="00832EE8"/>
    <w:rsid w:val="00832F31"/>
    <w:rsid w:val="0083301E"/>
    <w:rsid w:val="0083302C"/>
    <w:rsid w:val="00833076"/>
    <w:rsid w:val="008333BB"/>
    <w:rsid w:val="0083398B"/>
    <w:rsid w:val="00833ACC"/>
    <w:rsid w:val="00833C02"/>
    <w:rsid w:val="00833C0B"/>
    <w:rsid w:val="00833C83"/>
    <w:rsid w:val="00833C89"/>
    <w:rsid w:val="00833EBE"/>
    <w:rsid w:val="00833F91"/>
    <w:rsid w:val="00833FC7"/>
    <w:rsid w:val="008341DD"/>
    <w:rsid w:val="00834243"/>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129"/>
    <w:rsid w:val="00841439"/>
    <w:rsid w:val="0084157F"/>
    <w:rsid w:val="0084167D"/>
    <w:rsid w:val="008416CE"/>
    <w:rsid w:val="00841786"/>
    <w:rsid w:val="0084183F"/>
    <w:rsid w:val="00841E62"/>
    <w:rsid w:val="00841F76"/>
    <w:rsid w:val="00841FED"/>
    <w:rsid w:val="00842038"/>
    <w:rsid w:val="00842139"/>
    <w:rsid w:val="008421D3"/>
    <w:rsid w:val="00842217"/>
    <w:rsid w:val="0084245B"/>
    <w:rsid w:val="00842486"/>
    <w:rsid w:val="0084258F"/>
    <w:rsid w:val="00842658"/>
    <w:rsid w:val="0084265E"/>
    <w:rsid w:val="0084279E"/>
    <w:rsid w:val="00842F5B"/>
    <w:rsid w:val="00843107"/>
    <w:rsid w:val="008433FF"/>
    <w:rsid w:val="00843495"/>
    <w:rsid w:val="0084385D"/>
    <w:rsid w:val="008439BE"/>
    <w:rsid w:val="00843B67"/>
    <w:rsid w:val="00843BB4"/>
    <w:rsid w:val="00843EF7"/>
    <w:rsid w:val="008440AC"/>
    <w:rsid w:val="00844185"/>
    <w:rsid w:val="0084422A"/>
    <w:rsid w:val="0084454C"/>
    <w:rsid w:val="00844566"/>
    <w:rsid w:val="00844931"/>
    <w:rsid w:val="00845262"/>
    <w:rsid w:val="00845333"/>
    <w:rsid w:val="008458CE"/>
    <w:rsid w:val="00845E0F"/>
    <w:rsid w:val="008465FD"/>
    <w:rsid w:val="0084664D"/>
    <w:rsid w:val="008467ED"/>
    <w:rsid w:val="00846B91"/>
    <w:rsid w:val="00846EB5"/>
    <w:rsid w:val="00847222"/>
    <w:rsid w:val="00847343"/>
    <w:rsid w:val="00847350"/>
    <w:rsid w:val="00847504"/>
    <w:rsid w:val="0084755E"/>
    <w:rsid w:val="00847582"/>
    <w:rsid w:val="00847689"/>
    <w:rsid w:val="00847730"/>
    <w:rsid w:val="00847770"/>
    <w:rsid w:val="00847860"/>
    <w:rsid w:val="00847B43"/>
    <w:rsid w:val="00847D7E"/>
    <w:rsid w:val="00847DF4"/>
    <w:rsid w:val="00847E24"/>
    <w:rsid w:val="00847EFC"/>
    <w:rsid w:val="00850031"/>
    <w:rsid w:val="00850658"/>
    <w:rsid w:val="00850708"/>
    <w:rsid w:val="00850787"/>
    <w:rsid w:val="008507A2"/>
    <w:rsid w:val="00850C01"/>
    <w:rsid w:val="00850DA0"/>
    <w:rsid w:val="00850E7A"/>
    <w:rsid w:val="00850FF6"/>
    <w:rsid w:val="0085104D"/>
    <w:rsid w:val="0085108A"/>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868"/>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295"/>
    <w:rsid w:val="00861543"/>
    <w:rsid w:val="008616B9"/>
    <w:rsid w:val="008616E2"/>
    <w:rsid w:val="00861A44"/>
    <w:rsid w:val="00861D2D"/>
    <w:rsid w:val="00861D8F"/>
    <w:rsid w:val="00861E2F"/>
    <w:rsid w:val="008622AC"/>
    <w:rsid w:val="00862373"/>
    <w:rsid w:val="00862619"/>
    <w:rsid w:val="0086262E"/>
    <w:rsid w:val="008626D5"/>
    <w:rsid w:val="00862705"/>
    <w:rsid w:val="0086270A"/>
    <w:rsid w:val="0086280D"/>
    <w:rsid w:val="00862B31"/>
    <w:rsid w:val="00862CCE"/>
    <w:rsid w:val="00862F4B"/>
    <w:rsid w:val="00863025"/>
    <w:rsid w:val="00863076"/>
    <w:rsid w:val="008630EB"/>
    <w:rsid w:val="008634B8"/>
    <w:rsid w:val="0086356A"/>
    <w:rsid w:val="0086373B"/>
    <w:rsid w:val="008638D8"/>
    <w:rsid w:val="00863A13"/>
    <w:rsid w:val="00864287"/>
    <w:rsid w:val="0086449F"/>
    <w:rsid w:val="0086457C"/>
    <w:rsid w:val="008646F1"/>
    <w:rsid w:val="0086491B"/>
    <w:rsid w:val="00864A56"/>
    <w:rsid w:val="00864B1A"/>
    <w:rsid w:val="00864DF3"/>
    <w:rsid w:val="00864FD5"/>
    <w:rsid w:val="0086504F"/>
    <w:rsid w:val="008654D9"/>
    <w:rsid w:val="00865538"/>
    <w:rsid w:val="0086566F"/>
    <w:rsid w:val="008657C8"/>
    <w:rsid w:val="00865AED"/>
    <w:rsid w:val="00865BD2"/>
    <w:rsid w:val="00865C0C"/>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15F"/>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B87"/>
    <w:rsid w:val="00872C69"/>
    <w:rsid w:val="00872D82"/>
    <w:rsid w:val="00872E32"/>
    <w:rsid w:val="00872EE9"/>
    <w:rsid w:val="00872EF5"/>
    <w:rsid w:val="00872F42"/>
    <w:rsid w:val="00872F82"/>
    <w:rsid w:val="00873173"/>
    <w:rsid w:val="00873253"/>
    <w:rsid w:val="00873341"/>
    <w:rsid w:val="008733C5"/>
    <w:rsid w:val="0087345C"/>
    <w:rsid w:val="0087350A"/>
    <w:rsid w:val="00873587"/>
    <w:rsid w:val="00873629"/>
    <w:rsid w:val="0087364B"/>
    <w:rsid w:val="0087376F"/>
    <w:rsid w:val="0087378F"/>
    <w:rsid w:val="00873AA0"/>
    <w:rsid w:val="00873E92"/>
    <w:rsid w:val="00873EBC"/>
    <w:rsid w:val="00873F26"/>
    <w:rsid w:val="00873F4D"/>
    <w:rsid w:val="00874636"/>
    <w:rsid w:val="0087477A"/>
    <w:rsid w:val="00874807"/>
    <w:rsid w:val="00874819"/>
    <w:rsid w:val="00874864"/>
    <w:rsid w:val="008749FD"/>
    <w:rsid w:val="00874B05"/>
    <w:rsid w:val="00874E26"/>
    <w:rsid w:val="00874ECF"/>
    <w:rsid w:val="008750C4"/>
    <w:rsid w:val="0087550D"/>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AEB"/>
    <w:rsid w:val="00876C63"/>
    <w:rsid w:val="00876C65"/>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0C"/>
    <w:rsid w:val="00880714"/>
    <w:rsid w:val="00880840"/>
    <w:rsid w:val="008809A6"/>
    <w:rsid w:val="00880D5B"/>
    <w:rsid w:val="00880DAE"/>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050"/>
    <w:rsid w:val="00883482"/>
    <w:rsid w:val="008835DA"/>
    <w:rsid w:val="008836D2"/>
    <w:rsid w:val="00883770"/>
    <w:rsid w:val="00883871"/>
    <w:rsid w:val="008838A3"/>
    <w:rsid w:val="008838A8"/>
    <w:rsid w:val="008838C0"/>
    <w:rsid w:val="00883B89"/>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0F"/>
    <w:rsid w:val="008861F0"/>
    <w:rsid w:val="008862D3"/>
    <w:rsid w:val="00886412"/>
    <w:rsid w:val="00886538"/>
    <w:rsid w:val="0088665C"/>
    <w:rsid w:val="008866C3"/>
    <w:rsid w:val="008867BF"/>
    <w:rsid w:val="00886906"/>
    <w:rsid w:val="00886972"/>
    <w:rsid w:val="00886A24"/>
    <w:rsid w:val="00886AB8"/>
    <w:rsid w:val="00886B84"/>
    <w:rsid w:val="00886D69"/>
    <w:rsid w:val="00886E1E"/>
    <w:rsid w:val="00886E96"/>
    <w:rsid w:val="00886F12"/>
    <w:rsid w:val="0088721D"/>
    <w:rsid w:val="00887550"/>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86"/>
    <w:rsid w:val="00891BDD"/>
    <w:rsid w:val="00891F33"/>
    <w:rsid w:val="00892165"/>
    <w:rsid w:val="008922C2"/>
    <w:rsid w:val="008923C4"/>
    <w:rsid w:val="00892580"/>
    <w:rsid w:val="00892698"/>
    <w:rsid w:val="00892701"/>
    <w:rsid w:val="0089272B"/>
    <w:rsid w:val="008927A3"/>
    <w:rsid w:val="0089295D"/>
    <w:rsid w:val="00892994"/>
    <w:rsid w:val="00892A6C"/>
    <w:rsid w:val="00892B3C"/>
    <w:rsid w:val="00892B75"/>
    <w:rsid w:val="00892BC4"/>
    <w:rsid w:val="00892DED"/>
    <w:rsid w:val="00892F42"/>
    <w:rsid w:val="008932AD"/>
    <w:rsid w:val="008934A3"/>
    <w:rsid w:val="00893A86"/>
    <w:rsid w:val="00893B34"/>
    <w:rsid w:val="00894022"/>
    <w:rsid w:val="008942CB"/>
    <w:rsid w:val="008946B7"/>
    <w:rsid w:val="008946DC"/>
    <w:rsid w:val="0089477D"/>
    <w:rsid w:val="00894908"/>
    <w:rsid w:val="008949CD"/>
    <w:rsid w:val="00894A64"/>
    <w:rsid w:val="00894CB4"/>
    <w:rsid w:val="0089514C"/>
    <w:rsid w:val="0089524D"/>
    <w:rsid w:val="00895472"/>
    <w:rsid w:val="008954CD"/>
    <w:rsid w:val="008954F4"/>
    <w:rsid w:val="00895928"/>
    <w:rsid w:val="00895DDE"/>
    <w:rsid w:val="00895EB1"/>
    <w:rsid w:val="008960A3"/>
    <w:rsid w:val="0089617A"/>
    <w:rsid w:val="00896363"/>
    <w:rsid w:val="00896682"/>
    <w:rsid w:val="00896713"/>
    <w:rsid w:val="00896A08"/>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97F5E"/>
    <w:rsid w:val="008A0006"/>
    <w:rsid w:val="008A0188"/>
    <w:rsid w:val="008A03CC"/>
    <w:rsid w:val="008A0411"/>
    <w:rsid w:val="008A04C9"/>
    <w:rsid w:val="008A05AF"/>
    <w:rsid w:val="008A07B6"/>
    <w:rsid w:val="008A0A70"/>
    <w:rsid w:val="008A0D8F"/>
    <w:rsid w:val="008A10F1"/>
    <w:rsid w:val="008A11E3"/>
    <w:rsid w:val="008A11EC"/>
    <w:rsid w:val="008A141A"/>
    <w:rsid w:val="008A150D"/>
    <w:rsid w:val="008A1542"/>
    <w:rsid w:val="008A1734"/>
    <w:rsid w:val="008A1994"/>
    <w:rsid w:val="008A1B5F"/>
    <w:rsid w:val="008A1C5D"/>
    <w:rsid w:val="008A1E66"/>
    <w:rsid w:val="008A1F05"/>
    <w:rsid w:val="008A2012"/>
    <w:rsid w:val="008A20C3"/>
    <w:rsid w:val="008A2100"/>
    <w:rsid w:val="008A21FA"/>
    <w:rsid w:val="008A23C2"/>
    <w:rsid w:val="008A2A9A"/>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74F"/>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490"/>
    <w:rsid w:val="008A7535"/>
    <w:rsid w:val="008A76A8"/>
    <w:rsid w:val="008A790D"/>
    <w:rsid w:val="008A7935"/>
    <w:rsid w:val="008A79FF"/>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0EC"/>
    <w:rsid w:val="008B110C"/>
    <w:rsid w:val="008B1268"/>
    <w:rsid w:val="008B12BA"/>
    <w:rsid w:val="008B1817"/>
    <w:rsid w:val="008B19AD"/>
    <w:rsid w:val="008B19D4"/>
    <w:rsid w:val="008B1A4E"/>
    <w:rsid w:val="008B1C25"/>
    <w:rsid w:val="008B1D2D"/>
    <w:rsid w:val="008B1D84"/>
    <w:rsid w:val="008B1E78"/>
    <w:rsid w:val="008B1F13"/>
    <w:rsid w:val="008B1FA1"/>
    <w:rsid w:val="008B20C9"/>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C87"/>
    <w:rsid w:val="008B5D62"/>
    <w:rsid w:val="008B5EC2"/>
    <w:rsid w:val="008B5EFD"/>
    <w:rsid w:val="008B5F11"/>
    <w:rsid w:val="008B5F4A"/>
    <w:rsid w:val="008B5F65"/>
    <w:rsid w:val="008B618B"/>
    <w:rsid w:val="008B61A5"/>
    <w:rsid w:val="008B62C8"/>
    <w:rsid w:val="008B62DE"/>
    <w:rsid w:val="008B660D"/>
    <w:rsid w:val="008B6698"/>
    <w:rsid w:val="008B68E1"/>
    <w:rsid w:val="008B6A6B"/>
    <w:rsid w:val="008B6BFD"/>
    <w:rsid w:val="008B6C85"/>
    <w:rsid w:val="008B6D43"/>
    <w:rsid w:val="008B72D1"/>
    <w:rsid w:val="008B737D"/>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52C"/>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AAB"/>
    <w:rsid w:val="008C3C16"/>
    <w:rsid w:val="008C3E4A"/>
    <w:rsid w:val="008C3EC6"/>
    <w:rsid w:val="008C4509"/>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925"/>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ACB"/>
    <w:rsid w:val="008D0BE2"/>
    <w:rsid w:val="008D0FFB"/>
    <w:rsid w:val="008D114E"/>
    <w:rsid w:val="008D11A1"/>
    <w:rsid w:val="008D11F3"/>
    <w:rsid w:val="008D1233"/>
    <w:rsid w:val="008D12BF"/>
    <w:rsid w:val="008D1335"/>
    <w:rsid w:val="008D1523"/>
    <w:rsid w:val="008D16AB"/>
    <w:rsid w:val="008D1822"/>
    <w:rsid w:val="008D1AA7"/>
    <w:rsid w:val="008D1BCB"/>
    <w:rsid w:val="008D1C02"/>
    <w:rsid w:val="008D1C3C"/>
    <w:rsid w:val="008D1C82"/>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CF8"/>
    <w:rsid w:val="008D3D42"/>
    <w:rsid w:val="008D3D77"/>
    <w:rsid w:val="008D4065"/>
    <w:rsid w:val="008D4687"/>
    <w:rsid w:val="008D4706"/>
    <w:rsid w:val="008D4A1A"/>
    <w:rsid w:val="008D4E38"/>
    <w:rsid w:val="008D51B6"/>
    <w:rsid w:val="008D51FA"/>
    <w:rsid w:val="008D5365"/>
    <w:rsid w:val="008D54BC"/>
    <w:rsid w:val="008D54D3"/>
    <w:rsid w:val="008D5609"/>
    <w:rsid w:val="008D56A8"/>
    <w:rsid w:val="008D56B2"/>
    <w:rsid w:val="008D5905"/>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CC1"/>
    <w:rsid w:val="008D7DD7"/>
    <w:rsid w:val="008D7E31"/>
    <w:rsid w:val="008D7E8B"/>
    <w:rsid w:val="008D7EEB"/>
    <w:rsid w:val="008E01FC"/>
    <w:rsid w:val="008E0311"/>
    <w:rsid w:val="008E04D9"/>
    <w:rsid w:val="008E0711"/>
    <w:rsid w:val="008E079E"/>
    <w:rsid w:val="008E07AC"/>
    <w:rsid w:val="008E0875"/>
    <w:rsid w:val="008E0AEB"/>
    <w:rsid w:val="008E0AF2"/>
    <w:rsid w:val="008E0B7D"/>
    <w:rsid w:val="008E0E67"/>
    <w:rsid w:val="008E0E87"/>
    <w:rsid w:val="008E0E8D"/>
    <w:rsid w:val="008E1025"/>
    <w:rsid w:val="008E11A7"/>
    <w:rsid w:val="008E120E"/>
    <w:rsid w:val="008E122C"/>
    <w:rsid w:val="008E133C"/>
    <w:rsid w:val="008E13B8"/>
    <w:rsid w:val="008E1655"/>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1A"/>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4"/>
    <w:rsid w:val="008F1A17"/>
    <w:rsid w:val="008F1DD5"/>
    <w:rsid w:val="008F1E82"/>
    <w:rsid w:val="008F1F10"/>
    <w:rsid w:val="008F1F65"/>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3F76"/>
    <w:rsid w:val="008F4053"/>
    <w:rsid w:val="008F409E"/>
    <w:rsid w:val="008F419D"/>
    <w:rsid w:val="008F4441"/>
    <w:rsid w:val="008F47EB"/>
    <w:rsid w:val="008F492D"/>
    <w:rsid w:val="008F4B25"/>
    <w:rsid w:val="008F4BED"/>
    <w:rsid w:val="008F4CF2"/>
    <w:rsid w:val="008F4D55"/>
    <w:rsid w:val="008F4DF8"/>
    <w:rsid w:val="008F4EEA"/>
    <w:rsid w:val="008F51B3"/>
    <w:rsid w:val="008F5204"/>
    <w:rsid w:val="008F533F"/>
    <w:rsid w:val="008F5438"/>
    <w:rsid w:val="008F556C"/>
    <w:rsid w:val="008F556E"/>
    <w:rsid w:val="008F559F"/>
    <w:rsid w:val="008F55DB"/>
    <w:rsid w:val="008F564D"/>
    <w:rsid w:val="008F56CC"/>
    <w:rsid w:val="008F5711"/>
    <w:rsid w:val="008F5911"/>
    <w:rsid w:val="008F5931"/>
    <w:rsid w:val="008F5A37"/>
    <w:rsid w:val="008F5AAC"/>
    <w:rsid w:val="008F5B18"/>
    <w:rsid w:val="008F5B85"/>
    <w:rsid w:val="008F6240"/>
    <w:rsid w:val="008F6252"/>
    <w:rsid w:val="008F63FB"/>
    <w:rsid w:val="008F64DD"/>
    <w:rsid w:val="008F6A4E"/>
    <w:rsid w:val="008F6AF5"/>
    <w:rsid w:val="008F6B1F"/>
    <w:rsid w:val="008F6BC6"/>
    <w:rsid w:val="008F6CA6"/>
    <w:rsid w:val="008F6D73"/>
    <w:rsid w:val="008F6DDA"/>
    <w:rsid w:val="008F6F27"/>
    <w:rsid w:val="008F70A9"/>
    <w:rsid w:val="008F7175"/>
    <w:rsid w:val="008F72B6"/>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D6"/>
    <w:rsid w:val="009031F0"/>
    <w:rsid w:val="009032B5"/>
    <w:rsid w:val="009032CB"/>
    <w:rsid w:val="009032EB"/>
    <w:rsid w:val="009034D7"/>
    <w:rsid w:val="00903518"/>
    <w:rsid w:val="0090355B"/>
    <w:rsid w:val="009035C5"/>
    <w:rsid w:val="00903654"/>
    <w:rsid w:val="0090392B"/>
    <w:rsid w:val="00903AB3"/>
    <w:rsid w:val="00903C95"/>
    <w:rsid w:val="00903D4B"/>
    <w:rsid w:val="00903DF6"/>
    <w:rsid w:val="00903F56"/>
    <w:rsid w:val="0090414C"/>
    <w:rsid w:val="0090431E"/>
    <w:rsid w:val="00904452"/>
    <w:rsid w:val="00904519"/>
    <w:rsid w:val="0090459B"/>
    <w:rsid w:val="009046B4"/>
    <w:rsid w:val="009046F4"/>
    <w:rsid w:val="00904702"/>
    <w:rsid w:val="00904758"/>
    <w:rsid w:val="00904931"/>
    <w:rsid w:val="009049DB"/>
    <w:rsid w:val="00904A2C"/>
    <w:rsid w:val="00904AB2"/>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6EE3"/>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06"/>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96"/>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18"/>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17D9F"/>
    <w:rsid w:val="0092039D"/>
    <w:rsid w:val="0092045A"/>
    <w:rsid w:val="009208B5"/>
    <w:rsid w:val="00920974"/>
    <w:rsid w:val="00920BD9"/>
    <w:rsid w:val="00920DFF"/>
    <w:rsid w:val="00920E0C"/>
    <w:rsid w:val="00920E7D"/>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16B"/>
    <w:rsid w:val="009222D0"/>
    <w:rsid w:val="00922348"/>
    <w:rsid w:val="0092237B"/>
    <w:rsid w:val="00922544"/>
    <w:rsid w:val="0092265F"/>
    <w:rsid w:val="00922666"/>
    <w:rsid w:val="00922911"/>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C56"/>
    <w:rsid w:val="0092506E"/>
    <w:rsid w:val="0092516E"/>
    <w:rsid w:val="00925301"/>
    <w:rsid w:val="00925900"/>
    <w:rsid w:val="009259ED"/>
    <w:rsid w:val="00925A50"/>
    <w:rsid w:val="00925C2B"/>
    <w:rsid w:val="00925F9B"/>
    <w:rsid w:val="00925FE7"/>
    <w:rsid w:val="00926114"/>
    <w:rsid w:val="00926390"/>
    <w:rsid w:val="009264BE"/>
    <w:rsid w:val="00926678"/>
    <w:rsid w:val="00926900"/>
    <w:rsid w:val="0092693F"/>
    <w:rsid w:val="00926A40"/>
    <w:rsid w:val="00926A7F"/>
    <w:rsid w:val="00926CD6"/>
    <w:rsid w:val="00926EE4"/>
    <w:rsid w:val="00927176"/>
    <w:rsid w:val="00927267"/>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5B8"/>
    <w:rsid w:val="00930CD4"/>
    <w:rsid w:val="00930D50"/>
    <w:rsid w:val="00930E25"/>
    <w:rsid w:val="00931057"/>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38"/>
    <w:rsid w:val="00934889"/>
    <w:rsid w:val="00934922"/>
    <w:rsid w:val="0093495E"/>
    <w:rsid w:val="00934ADD"/>
    <w:rsid w:val="00934C80"/>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0ED"/>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875"/>
    <w:rsid w:val="009439DD"/>
    <w:rsid w:val="00943A28"/>
    <w:rsid w:val="00943AAA"/>
    <w:rsid w:val="00943CC8"/>
    <w:rsid w:val="00943DC9"/>
    <w:rsid w:val="00943F3A"/>
    <w:rsid w:val="00944072"/>
    <w:rsid w:val="009441F8"/>
    <w:rsid w:val="0094420F"/>
    <w:rsid w:val="009442F0"/>
    <w:rsid w:val="00944399"/>
    <w:rsid w:val="009443B4"/>
    <w:rsid w:val="00944501"/>
    <w:rsid w:val="00944631"/>
    <w:rsid w:val="009449B7"/>
    <w:rsid w:val="00944A14"/>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414"/>
    <w:rsid w:val="009466C4"/>
    <w:rsid w:val="009466D1"/>
    <w:rsid w:val="0094680A"/>
    <w:rsid w:val="009469D1"/>
    <w:rsid w:val="00946A28"/>
    <w:rsid w:val="00946C50"/>
    <w:rsid w:val="00946D93"/>
    <w:rsid w:val="00946E07"/>
    <w:rsid w:val="009470DF"/>
    <w:rsid w:val="0094741E"/>
    <w:rsid w:val="00947721"/>
    <w:rsid w:val="0094793C"/>
    <w:rsid w:val="00947996"/>
    <w:rsid w:val="009479FC"/>
    <w:rsid w:val="00947BAC"/>
    <w:rsid w:val="00947C4E"/>
    <w:rsid w:val="00947E1E"/>
    <w:rsid w:val="00947E39"/>
    <w:rsid w:val="0095010E"/>
    <w:rsid w:val="009501DB"/>
    <w:rsid w:val="009506A0"/>
    <w:rsid w:val="00950759"/>
    <w:rsid w:val="00950761"/>
    <w:rsid w:val="009507B7"/>
    <w:rsid w:val="009508E1"/>
    <w:rsid w:val="009508FB"/>
    <w:rsid w:val="00950A09"/>
    <w:rsid w:val="00950B71"/>
    <w:rsid w:val="00950BB4"/>
    <w:rsid w:val="00950F90"/>
    <w:rsid w:val="009510C4"/>
    <w:rsid w:val="009511F8"/>
    <w:rsid w:val="00951250"/>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AEC"/>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06"/>
    <w:rsid w:val="009558B3"/>
    <w:rsid w:val="00955911"/>
    <w:rsid w:val="0095597C"/>
    <w:rsid w:val="00955A97"/>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B4A"/>
    <w:rsid w:val="00957D02"/>
    <w:rsid w:val="0096037F"/>
    <w:rsid w:val="0096047C"/>
    <w:rsid w:val="00960579"/>
    <w:rsid w:val="0096061D"/>
    <w:rsid w:val="0096061F"/>
    <w:rsid w:val="00960966"/>
    <w:rsid w:val="00960BA3"/>
    <w:rsid w:val="00960CFA"/>
    <w:rsid w:val="00960D1E"/>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894"/>
    <w:rsid w:val="0096295E"/>
    <w:rsid w:val="00962B76"/>
    <w:rsid w:val="00962BFC"/>
    <w:rsid w:val="00962DA2"/>
    <w:rsid w:val="00962E75"/>
    <w:rsid w:val="00962F11"/>
    <w:rsid w:val="00963151"/>
    <w:rsid w:val="0096316F"/>
    <w:rsid w:val="00963797"/>
    <w:rsid w:val="00963A6D"/>
    <w:rsid w:val="00963A9C"/>
    <w:rsid w:val="00963DC8"/>
    <w:rsid w:val="00963ED0"/>
    <w:rsid w:val="00963FDC"/>
    <w:rsid w:val="00964159"/>
    <w:rsid w:val="00964268"/>
    <w:rsid w:val="00964469"/>
    <w:rsid w:val="00964503"/>
    <w:rsid w:val="00964577"/>
    <w:rsid w:val="009645C0"/>
    <w:rsid w:val="009645C4"/>
    <w:rsid w:val="009645FF"/>
    <w:rsid w:val="00964612"/>
    <w:rsid w:val="009646FD"/>
    <w:rsid w:val="0096472A"/>
    <w:rsid w:val="0096483A"/>
    <w:rsid w:val="009648D8"/>
    <w:rsid w:val="00964AD1"/>
    <w:rsid w:val="00964AF6"/>
    <w:rsid w:val="00964B3D"/>
    <w:rsid w:val="00964DEA"/>
    <w:rsid w:val="00965202"/>
    <w:rsid w:val="0096524B"/>
    <w:rsid w:val="009652B9"/>
    <w:rsid w:val="009654FA"/>
    <w:rsid w:val="009657E4"/>
    <w:rsid w:val="00965901"/>
    <w:rsid w:val="0096592D"/>
    <w:rsid w:val="00965954"/>
    <w:rsid w:val="0096596B"/>
    <w:rsid w:val="00965C24"/>
    <w:rsid w:val="00965CD5"/>
    <w:rsid w:val="00966182"/>
    <w:rsid w:val="009661ED"/>
    <w:rsid w:val="0096630A"/>
    <w:rsid w:val="00966362"/>
    <w:rsid w:val="00966448"/>
    <w:rsid w:val="00966469"/>
    <w:rsid w:val="0096647E"/>
    <w:rsid w:val="00966976"/>
    <w:rsid w:val="009669C3"/>
    <w:rsid w:val="00966A80"/>
    <w:rsid w:val="00966C45"/>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13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7AD"/>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52A"/>
    <w:rsid w:val="00981627"/>
    <w:rsid w:val="009816DA"/>
    <w:rsid w:val="009817AE"/>
    <w:rsid w:val="00981A43"/>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7E0"/>
    <w:rsid w:val="00984C22"/>
    <w:rsid w:val="00984C2D"/>
    <w:rsid w:val="00984F3E"/>
    <w:rsid w:val="0098559C"/>
    <w:rsid w:val="009855CA"/>
    <w:rsid w:val="0098561C"/>
    <w:rsid w:val="00985630"/>
    <w:rsid w:val="009856E7"/>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6F54"/>
    <w:rsid w:val="0098702C"/>
    <w:rsid w:val="009870F0"/>
    <w:rsid w:val="0098710B"/>
    <w:rsid w:val="0098719F"/>
    <w:rsid w:val="009871BA"/>
    <w:rsid w:val="009872D5"/>
    <w:rsid w:val="009875F6"/>
    <w:rsid w:val="009875F9"/>
    <w:rsid w:val="009876AF"/>
    <w:rsid w:val="009878B7"/>
    <w:rsid w:val="009878F1"/>
    <w:rsid w:val="00987C81"/>
    <w:rsid w:val="00987E04"/>
    <w:rsid w:val="00987E37"/>
    <w:rsid w:val="00987F4F"/>
    <w:rsid w:val="009900E4"/>
    <w:rsid w:val="009902AA"/>
    <w:rsid w:val="009904FA"/>
    <w:rsid w:val="00990830"/>
    <w:rsid w:val="00990931"/>
    <w:rsid w:val="009909D9"/>
    <w:rsid w:val="00990A84"/>
    <w:rsid w:val="00990B54"/>
    <w:rsid w:val="00990D2E"/>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27"/>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5F"/>
    <w:rsid w:val="00995CCE"/>
    <w:rsid w:val="00995DDA"/>
    <w:rsid w:val="00995E17"/>
    <w:rsid w:val="00995F6A"/>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A24"/>
    <w:rsid w:val="00997C0F"/>
    <w:rsid w:val="00997C38"/>
    <w:rsid w:val="00997E08"/>
    <w:rsid w:val="00997F4A"/>
    <w:rsid w:val="009A037B"/>
    <w:rsid w:val="009A039D"/>
    <w:rsid w:val="009A068D"/>
    <w:rsid w:val="009A0AAF"/>
    <w:rsid w:val="009A0D3D"/>
    <w:rsid w:val="009A0F59"/>
    <w:rsid w:val="009A0FED"/>
    <w:rsid w:val="009A10D8"/>
    <w:rsid w:val="009A13BD"/>
    <w:rsid w:val="009A14D5"/>
    <w:rsid w:val="009A1557"/>
    <w:rsid w:val="009A16A9"/>
    <w:rsid w:val="009A1788"/>
    <w:rsid w:val="009A17F3"/>
    <w:rsid w:val="009A184B"/>
    <w:rsid w:val="009A1872"/>
    <w:rsid w:val="009A1A6B"/>
    <w:rsid w:val="009A1B33"/>
    <w:rsid w:val="009A1B62"/>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23B"/>
    <w:rsid w:val="009A3311"/>
    <w:rsid w:val="009A3435"/>
    <w:rsid w:val="009A34D9"/>
    <w:rsid w:val="009A34EA"/>
    <w:rsid w:val="009A3596"/>
    <w:rsid w:val="009A3777"/>
    <w:rsid w:val="009A385D"/>
    <w:rsid w:val="009A38BA"/>
    <w:rsid w:val="009A39D0"/>
    <w:rsid w:val="009A3A71"/>
    <w:rsid w:val="009A3C5D"/>
    <w:rsid w:val="009A3CD1"/>
    <w:rsid w:val="009A3CF0"/>
    <w:rsid w:val="009A3D84"/>
    <w:rsid w:val="009A3F2A"/>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8"/>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520"/>
    <w:rsid w:val="009A773E"/>
    <w:rsid w:val="009A7766"/>
    <w:rsid w:val="009A7B24"/>
    <w:rsid w:val="009A7BB8"/>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94"/>
    <w:rsid w:val="009B14D4"/>
    <w:rsid w:val="009B186E"/>
    <w:rsid w:val="009B1D15"/>
    <w:rsid w:val="009B1EC3"/>
    <w:rsid w:val="009B208E"/>
    <w:rsid w:val="009B2563"/>
    <w:rsid w:val="009B2A7A"/>
    <w:rsid w:val="009B2BFE"/>
    <w:rsid w:val="009B2DAC"/>
    <w:rsid w:val="009B2F3B"/>
    <w:rsid w:val="009B3049"/>
    <w:rsid w:val="009B311B"/>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B35"/>
    <w:rsid w:val="009B4CE1"/>
    <w:rsid w:val="009B4D06"/>
    <w:rsid w:val="009B4DE3"/>
    <w:rsid w:val="009B4F35"/>
    <w:rsid w:val="009B4F9A"/>
    <w:rsid w:val="009B4FA4"/>
    <w:rsid w:val="009B5128"/>
    <w:rsid w:val="009B514A"/>
    <w:rsid w:val="009B51C8"/>
    <w:rsid w:val="009B5222"/>
    <w:rsid w:val="009B52C5"/>
    <w:rsid w:val="009B54E5"/>
    <w:rsid w:val="009B569F"/>
    <w:rsid w:val="009B5768"/>
    <w:rsid w:val="009B5825"/>
    <w:rsid w:val="009B58C8"/>
    <w:rsid w:val="009B5905"/>
    <w:rsid w:val="009B5981"/>
    <w:rsid w:val="009B5AC3"/>
    <w:rsid w:val="009B5AD8"/>
    <w:rsid w:val="009B5E0C"/>
    <w:rsid w:val="009B60A2"/>
    <w:rsid w:val="009B61E7"/>
    <w:rsid w:val="009B6397"/>
    <w:rsid w:val="009B63C9"/>
    <w:rsid w:val="009B671B"/>
    <w:rsid w:val="009B6A8B"/>
    <w:rsid w:val="009B6AE0"/>
    <w:rsid w:val="009B6B17"/>
    <w:rsid w:val="009B6C08"/>
    <w:rsid w:val="009B6F5D"/>
    <w:rsid w:val="009B6FA1"/>
    <w:rsid w:val="009B70AE"/>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2FF"/>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DBE"/>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279"/>
    <w:rsid w:val="009C3424"/>
    <w:rsid w:val="009C3490"/>
    <w:rsid w:val="009C3571"/>
    <w:rsid w:val="009C387A"/>
    <w:rsid w:val="009C3920"/>
    <w:rsid w:val="009C3A68"/>
    <w:rsid w:val="009C3BA7"/>
    <w:rsid w:val="009C3C1E"/>
    <w:rsid w:val="009C3C24"/>
    <w:rsid w:val="009C3DD4"/>
    <w:rsid w:val="009C3EAE"/>
    <w:rsid w:val="009C3F6D"/>
    <w:rsid w:val="009C3F74"/>
    <w:rsid w:val="009C4263"/>
    <w:rsid w:val="009C43BB"/>
    <w:rsid w:val="009C45FE"/>
    <w:rsid w:val="009C4CE9"/>
    <w:rsid w:val="009C4DAD"/>
    <w:rsid w:val="009C4E88"/>
    <w:rsid w:val="009C4EB1"/>
    <w:rsid w:val="009C4F7C"/>
    <w:rsid w:val="009C4FD9"/>
    <w:rsid w:val="009C503B"/>
    <w:rsid w:val="009C50AA"/>
    <w:rsid w:val="009C529F"/>
    <w:rsid w:val="009C587A"/>
    <w:rsid w:val="009C5918"/>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D21"/>
    <w:rsid w:val="009C7E9A"/>
    <w:rsid w:val="009D00AB"/>
    <w:rsid w:val="009D0408"/>
    <w:rsid w:val="009D0438"/>
    <w:rsid w:val="009D0574"/>
    <w:rsid w:val="009D0B12"/>
    <w:rsid w:val="009D0B7C"/>
    <w:rsid w:val="009D0C73"/>
    <w:rsid w:val="009D119A"/>
    <w:rsid w:val="009D12F6"/>
    <w:rsid w:val="009D13EC"/>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06"/>
    <w:rsid w:val="009D3187"/>
    <w:rsid w:val="009D3199"/>
    <w:rsid w:val="009D31EE"/>
    <w:rsid w:val="009D337F"/>
    <w:rsid w:val="009D3590"/>
    <w:rsid w:val="009D35BF"/>
    <w:rsid w:val="009D378C"/>
    <w:rsid w:val="009D37E8"/>
    <w:rsid w:val="009D3993"/>
    <w:rsid w:val="009D39BC"/>
    <w:rsid w:val="009D3D7C"/>
    <w:rsid w:val="009D3E35"/>
    <w:rsid w:val="009D4386"/>
    <w:rsid w:val="009D4864"/>
    <w:rsid w:val="009D4913"/>
    <w:rsid w:val="009D4A96"/>
    <w:rsid w:val="009D4C73"/>
    <w:rsid w:val="009D5094"/>
    <w:rsid w:val="009D517D"/>
    <w:rsid w:val="009D5211"/>
    <w:rsid w:val="009D5216"/>
    <w:rsid w:val="009D5284"/>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D7EBC"/>
    <w:rsid w:val="009E0096"/>
    <w:rsid w:val="009E00E4"/>
    <w:rsid w:val="009E011D"/>
    <w:rsid w:val="009E0152"/>
    <w:rsid w:val="009E01D3"/>
    <w:rsid w:val="009E0A94"/>
    <w:rsid w:val="009E0D45"/>
    <w:rsid w:val="009E0ED2"/>
    <w:rsid w:val="009E0EF9"/>
    <w:rsid w:val="009E1361"/>
    <w:rsid w:val="009E14AE"/>
    <w:rsid w:val="009E1568"/>
    <w:rsid w:val="009E15D3"/>
    <w:rsid w:val="009E16A1"/>
    <w:rsid w:val="009E171E"/>
    <w:rsid w:val="009E1821"/>
    <w:rsid w:val="009E199D"/>
    <w:rsid w:val="009E1A21"/>
    <w:rsid w:val="009E1F91"/>
    <w:rsid w:val="009E24F6"/>
    <w:rsid w:val="009E253A"/>
    <w:rsid w:val="009E25D8"/>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6A8"/>
    <w:rsid w:val="009E57C7"/>
    <w:rsid w:val="009E5E6E"/>
    <w:rsid w:val="009E5F18"/>
    <w:rsid w:val="009E6037"/>
    <w:rsid w:val="009E6BC6"/>
    <w:rsid w:val="009E6C00"/>
    <w:rsid w:val="009E6C81"/>
    <w:rsid w:val="009E6D0E"/>
    <w:rsid w:val="009E6DC2"/>
    <w:rsid w:val="009E6DC4"/>
    <w:rsid w:val="009E6DEF"/>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087"/>
    <w:rsid w:val="009F415E"/>
    <w:rsid w:val="009F458D"/>
    <w:rsid w:val="009F47BC"/>
    <w:rsid w:val="009F4AB1"/>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5A9"/>
    <w:rsid w:val="009F7812"/>
    <w:rsid w:val="009F7AD6"/>
    <w:rsid w:val="009F7C05"/>
    <w:rsid w:val="009F7CDC"/>
    <w:rsid w:val="009F7F28"/>
    <w:rsid w:val="009F7F91"/>
    <w:rsid w:val="00A00535"/>
    <w:rsid w:val="00A0057C"/>
    <w:rsid w:val="00A0059D"/>
    <w:rsid w:val="00A007DD"/>
    <w:rsid w:val="00A009C4"/>
    <w:rsid w:val="00A009CF"/>
    <w:rsid w:val="00A009E2"/>
    <w:rsid w:val="00A00A83"/>
    <w:rsid w:val="00A00F9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9C5"/>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18"/>
    <w:rsid w:val="00A0479D"/>
    <w:rsid w:val="00A047C7"/>
    <w:rsid w:val="00A049E0"/>
    <w:rsid w:val="00A049F3"/>
    <w:rsid w:val="00A049F4"/>
    <w:rsid w:val="00A04D9D"/>
    <w:rsid w:val="00A04F3B"/>
    <w:rsid w:val="00A052E0"/>
    <w:rsid w:val="00A055A7"/>
    <w:rsid w:val="00A05737"/>
    <w:rsid w:val="00A058B5"/>
    <w:rsid w:val="00A0590B"/>
    <w:rsid w:val="00A05989"/>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88E"/>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996"/>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27"/>
    <w:rsid w:val="00A1158B"/>
    <w:rsid w:val="00A1174C"/>
    <w:rsid w:val="00A117A2"/>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69"/>
    <w:rsid w:val="00A133BD"/>
    <w:rsid w:val="00A133D3"/>
    <w:rsid w:val="00A13428"/>
    <w:rsid w:val="00A1344A"/>
    <w:rsid w:val="00A1365E"/>
    <w:rsid w:val="00A13734"/>
    <w:rsid w:val="00A13936"/>
    <w:rsid w:val="00A13A2A"/>
    <w:rsid w:val="00A13C92"/>
    <w:rsid w:val="00A13D19"/>
    <w:rsid w:val="00A13EA8"/>
    <w:rsid w:val="00A1404F"/>
    <w:rsid w:val="00A14073"/>
    <w:rsid w:val="00A14092"/>
    <w:rsid w:val="00A142CE"/>
    <w:rsid w:val="00A14487"/>
    <w:rsid w:val="00A148D9"/>
    <w:rsid w:val="00A14B96"/>
    <w:rsid w:val="00A14CC9"/>
    <w:rsid w:val="00A14E15"/>
    <w:rsid w:val="00A14FA8"/>
    <w:rsid w:val="00A150E1"/>
    <w:rsid w:val="00A15261"/>
    <w:rsid w:val="00A152E8"/>
    <w:rsid w:val="00A157A2"/>
    <w:rsid w:val="00A1586A"/>
    <w:rsid w:val="00A158A6"/>
    <w:rsid w:val="00A15925"/>
    <w:rsid w:val="00A15995"/>
    <w:rsid w:val="00A15A01"/>
    <w:rsid w:val="00A15A78"/>
    <w:rsid w:val="00A15A93"/>
    <w:rsid w:val="00A15D0B"/>
    <w:rsid w:val="00A15D53"/>
    <w:rsid w:val="00A15DE5"/>
    <w:rsid w:val="00A15FC1"/>
    <w:rsid w:val="00A160B9"/>
    <w:rsid w:val="00A161B7"/>
    <w:rsid w:val="00A16333"/>
    <w:rsid w:val="00A167C6"/>
    <w:rsid w:val="00A16832"/>
    <w:rsid w:val="00A1693A"/>
    <w:rsid w:val="00A16A4C"/>
    <w:rsid w:val="00A16E80"/>
    <w:rsid w:val="00A171B9"/>
    <w:rsid w:val="00A1734A"/>
    <w:rsid w:val="00A1754C"/>
    <w:rsid w:val="00A1771F"/>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E12"/>
    <w:rsid w:val="00A21EDB"/>
    <w:rsid w:val="00A21FB9"/>
    <w:rsid w:val="00A22069"/>
    <w:rsid w:val="00A22218"/>
    <w:rsid w:val="00A22360"/>
    <w:rsid w:val="00A22468"/>
    <w:rsid w:val="00A2263B"/>
    <w:rsid w:val="00A226E6"/>
    <w:rsid w:val="00A226EC"/>
    <w:rsid w:val="00A22761"/>
    <w:rsid w:val="00A227CD"/>
    <w:rsid w:val="00A229FA"/>
    <w:rsid w:val="00A22A1B"/>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3F"/>
    <w:rsid w:val="00A241A7"/>
    <w:rsid w:val="00A24289"/>
    <w:rsid w:val="00A242B2"/>
    <w:rsid w:val="00A243EE"/>
    <w:rsid w:val="00A2444F"/>
    <w:rsid w:val="00A24560"/>
    <w:rsid w:val="00A247CD"/>
    <w:rsid w:val="00A24B81"/>
    <w:rsid w:val="00A24C2B"/>
    <w:rsid w:val="00A24D05"/>
    <w:rsid w:val="00A24D0E"/>
    <w:rsid w:val="00A24D34"/>
    <w:rsid w:val="00A24DDE"/>
    <w:rsid w:val="00A25194"/>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728"/>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23"/>
    <w:rsid w:val="00A2785C"/>
    <w:rsid w:val="00A278A7"/>
    <w:rsid w:val="00A27902"/>
    <w:rsid w:val="00A2791C"/>
    <w:rsid w:val="00A279CA"/>
    <w:rsid w:val="00A279D2"/>
    <w:rsid w:val="00A3000B"/>
    <w:rsid w:val="00A300F2"/>
    <w:rsid w:val="00A3021E"/>
    <w:rsid w:val="00A302D1"/>
    <w:rsid w:val="00A303ED"/>
    <w:rsid w:val="00A30418"/>
    <w:rsid w:val="00A304B6"/>
    <w:rsid w:val="00A30656"/>
    <w:rsid w:val="00A3088A"/>
    <w:rsid w:val="00A3088C"/>
    <w:rsid w:val="00A30BA2"/>
    <w:rsid w:val="00A30C77"/>
    <w:rsid w:val="00A30DDC"/>
    <w:rsid w:val="00A30E47"/>
    <w:rsid w:val="00A30E50"/>
    <w:rsid w:val="00A30E9C"/>
    <w:rsid w:val="00A31033"/>
    <w:rsid w:val="00A31351"/>
    <w:rsid w:val="00A313F7"/>
    <w:rsid w:val="00A314FB"/>
    <w:rsid w:val="00A3152B"/>
    <w:rsid w:val="00A31785"/>
    <w:rsid w:val="00A317FB"/>
    <w:rsid w:val="00A3180A"/>
    <w:rsid w:val="00A31840"/>
    <w:rsid w:val="00A318A3"/>
    <w:rsid w:val="00A31AC6"/>
    <w:rsid w:val="00A31C70"/>
    <w:rsid w:val="00A3206A"/>
    <w:rsid w:val="00A32273"/>
    <w:rsid w:val="00A32AD1"/>
    <w:rsid w:val="00A32F82"/>
    <w:rsid w:val="00A32F9B"/>
    <w:rsid w:val="00A3329D"/>
    <w:rsid w:val="00A33388"/>
    <w:rsid w:val="00A333AF"/>
    <w:rsid w:val="00A334BD"/>
    <w:rsid w:val="00A33572"/>
    <w:rsid w:val="00A335A1"/>
    <w:rsid w:val="00A33A02"/>
    <w:rsid w:val="00A33D68"/>
    <w:rsid w:val="00A33E21"/>
    <w:rsid w:val="00A33F7D"/>
    <w:rsid w:val="00A33F92"/>
    <w:rsid w:val="00A33F9A"/>
    <w:rsid w:val="00A34002"/>
    <w:rsid w:val="00A340BB"/>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0AB"/>
    <w:rsid w:val="00A3726E"/>
    <w:rsid w:val="00A376FA"/>
    <w:rsid w:val="00A37BA0"/>
    <w:rsid w:val="00A37D6A"/>
    <w:rsid w:val="00A37E78"/>
    <w:rsid w:val="00A37F5E"/>
    <w:rsid w:val="00A40238"/>
    <w:rsid w:val="00A402CF"/>
    <w:rsid w:val="00A4030B"/>
    <w:rsid w:val="00A403F8"/>
    <w:rsid w:val="00A403FA"/>
    <w:rsid w:val="00A4043C"/>
    <w:rsid w:val="00A40545"/>
    <w:rsid w:val="00A4064F"/>
    <w:rsid w:val="00A40997"/>
    <w:rsid w:val="00A40B6D"/>
    <w:rsid w:val="00A40DEB"/>
    <w:rsid w:val="00A40F76"/>
    <w:rsid w:val="00A40FC0"/>
    <w:rsid w:val="00A413AC"/>
    <w:rsid w:val="00A41423"/>
    <w:rsid w:val="00A41471"/>
    <w:rsid w:val="00A418C4"/>
    <w:rsid w:val="00A41937"/>
    <w:rsid w:val="00A41957"/>
    <w:rsid w:val="00A41D5F"/>
    <w:rsid w:val="00A41D90"/>
    <w:rsid w:val="00A41DE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6F5"/>
    <w:rsid w:val="00A45996"/>
    <w:rsid w:val="00A45BA7"/>
    <w:rsid w:val="00A45E83"/>
    <w:rsid w:val="00A45EBE"/>
    <w:rsid w:val="00A45ECC"/>
    <w:rsid w:val="00A4609C"/>
    <w:rsid w:val="00A463AA"/>
    <w:rsid w:val="00A46543"/>
    <w:rsid w:val="00A46562"/>
    <w:rsid w:val="00A46638"/>
    <w:rsid w:val="00A46773"/>
    <w:rsid w:val="00A46784"/>
    <w:rsid w:val="00A468D6"/>
    <w:rsid w:val="00A46920"/>
    <w:rsid w:val="00A46A25"/>
    <w:rsid w:val="00A46ABC"/>
    <w:rsid w:val="00A46BD1"/>
    <w:rsid w:val="00A46CAF"/>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47FAE"/>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2EA"/>
    <w:rsid w:val="00A534D9"/>
    <w:rsid w:val="00A534F5"/>
    <w:rsid w:val="00A537D1"/>
    <w:rsid w:val="00A53968"/>
    <w:rsid w:val="00A53A7F"/>
    <w:rsid w:val="00A53C4E"/>
    <w:rsid w:val="00A541E1"/>
    <w:rsid w:val="00A54649"/>
    <w:rsid w:val="00A54E67"/>
    <w:rsid w:val="00A54FF3"/>
    <w:rsid w:val="00A55128"/>
    <w:rsid w:val="00A554DD"/>
    <w:rsid w:val="00A5555E"/>
    <w:rsid w:val="00A55588"/>
    <w:rsid w:val="00A55660"/>
    <w:rsid w:val="00A5569A"/>
    <w:rsid w:val="00A557F9"/>
    <w:rsid w:val="00A55817"/>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15"/>
    <w:rsid w:val="00A6055F"/>
    <w:rsid w:val="00A60684"/>
    <w:rsid w:val="00A60742"/>
    <w:rsid w:val="00A608F9"/>
    <w:rsid w:val="00A60949"/>
    <w:rsid w:val="00A60B29"/>
    <w:rsid w:val="00A60DAE"/>
    <w:rsid w:val="00A60DE1"/>
    <w:rsid w:val="00A61357"/>
    <w:rsid w:val="00A61544"/>
    <w:rsid w:val="00A61707"/>
    <w:rsid w:val="00A61795"/>
    <w:rsid w:val="00A61871"/>
    <w:rsid w:val="00A618B3"/>
    <w:rsid w:val="00A61A58"/>
    <w:rsid w:val="00A61CC9"/>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24"/>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68"/>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6FA"/>
    <w:rsid w:val="00A71B9D"/>
    <w:rsid w:val="00A71D53"/>
    <w:rsid w:val="00A71DC7"/>
    <w:rsid w:val="00A71FE2"/>
    <w:rsid w:val="00A720D2"/>
    <w:rsid w:val="00A720D5"/>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94F"/>
    <w:rsid w:val="00A739A1"/>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8B"/>
    <w:rsid w:val="00A766B8"/>
    <w:rsid w:val="00A767BB"/>
    <w:rsid w:val="00A76973"/>
    <w:rsid w:val="00A76980"/>
    <w:rsid w:val="00A76B94"/>
    <w:rsid w:val="00A76EF3"/>
    <w:rsid w:val="00A770A6"/>
    <w:rsid w:val="00A773D5"/>
    <w:rsid w:val="00A774BE"/>
    <w:rsid w:val="00A77571"/>
    <w:rsid w:val="00A779F9"/>
    <w:rsid w:val="00A77B40"/>
    <w:rsid w:val="00A77BC8"/>
    <w:rsid w:val="00A77C2B"/>
    <w:rsid w:val="00A77DCE"/>
    <w:rsid w:val="00A77E91"/>
    <w:rsid w:val="00A8016D"/>
    <w:rsid w:val="00A80343"/>
    <w:rsid w:val="00A80394"/>
    <w:rsid w:val="00A80413"/>
    <w:rsid w:val="00A80781"/>
    <w:rsid w:val="00A8096A"/>
    <w:rsid w:val="00A80A00"/>
    <w:rsid w:val="00A80B26"/>
    <w:rsid w:val="00A80DA1"/>
    <w:rsid w:val="00A80FA1"/>
    <w:rsid w:val="00A80FAD"/>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0B3"/>
    <w:rsid w:val="00A822DD"/>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64"/>
    <w:rsid w:val="00A83CB4"/>
    <w:rsid w:val="00A83D5B"/>
    <w:rsid w:val="00A83E46"/>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53"/>
    <w:rsid w:val="00A85890"/>
    <w:rsid w:val="00A858E8"/>
    <w:rsid w:val="00A85A1E"/>
    <w:rsid w:val="00A85DE4"/>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C12"/>
    <w:rsid w:val="00A87E09"/>
    <w:rsid w:val="00A87E5C"/>
    <w:rsid w:val="00A87FC3"/>
    <w:rsid w:val="00A90174"/>
    <w:rsid w:val="00A90298"/>
    <w:rsid w:val="00A902D0"/>
    <w:rsid w:val="00A9033A"/>
    <w:rsid w:val="00A904EB"/>
    <w:rsid w:val="00A90654"/>
    <w:rsid w:val="00A9066E"/>
    <w:rsid w:val="00A90920"/>
    <w:rsid w:val="00A90A56"/>
    <w:rsid w:val="00A90B7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C70"/>
    <w:rsid w:val="00A92DEA"/>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C5"/>
    <w:rsid w:val="00A978FF"/>
    <w:rsid w:val="00A97A37"/>
    <w:rsid w:val="00A97C0E"/>
    <w:rsid w:val="00A97F72"/>
    <w:rsid w:val="00AA0027"/>
    <w:rsid w:val="00AA0506"/>
    <w:rsid w:val="00AA080E"/>
    <w:rsid w:val="00AA0824"/>
    <w:rsid w:val="00AA08AC"/>
    <w:rsid w:val="00AA08DF"/>
    <w:rsid w:val="00AA0B13"/>
    <w:rsid w:val="00AA0CCA"/>
    <w:rsid w:val="00AA0E8D"/>
    <w:rsid w:val="00AA13A1"/>
    <w:rsid w:val="00AA16D4"/>
    <w:rsid w:val="00AA1AD8"/>
    <w:rsid w:val="00AA1D09"/>
    <w:rsid w:val="00AA1D2B"/>
    <w:rsid w:val="00AA1E4B"/>
    <w:rsid w:val="00AA1E87"/>
    <w:rsid w:val="00AA1F36"/>
    <w:rsid w:val="00AA1FFB"/>
    <w:rsid w:val="00AA213E"/>
    <w:rsid w:val="00AA21BF"/>
    <w:rsid w:val="00AA230F"/>
    <w:rsid w:val="00AA2394"/>
    <w:rsid w:val="00AA23EB"/>
    <w:rsid w:val="00AA244A"/>
    <w:rsid w:val="00AA2485"/>
    <w:rsid w:val="00AA24F6"/>
    <w:rsid w:val="00AA25BE"/>
    <w:rsid w:val="00AA2784"/>
    <w:rsid w:val="00AA281A"/>
    <w:rsid w:val="00AA28FF"/>
    <w:rsid w:val="00AA2BE9"/>
    <w:rsid w:val="00AA2BF6"/>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479"/>
    <w:rsid w:val="00AA4C5E"/>
    <w:rsid w:val="00AA4E8B"/>
    <w:rsid w:val="00AA526C"/>
    <w:rsid w:val="00AA5636"/>
    <w:rsid w:val="00AA56A3"/>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9FD"/>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690"/>
    <w:rsid w:val="00AB188D"/>
    <w:rsid w:val="00AB1A0D"/>
    <w:rsid w:val="00AB1E15"/>
    <w:rsid w:val="00AB1F49"/>
    <w:rsid w:val="00AB2155"/>
    <w:rsid w:val="00AB2167"/>
    <w:rsid w:val="00AB2179"/>
    <w:rsid w:val="00AB22EB"/>
    <w:rsid w:val="00AB2467"/>
    <w:rsid w:val="00AB24AC"/>
    <w:rsid w:val="00AB2915"/>
    <w:rsid w:val="00AB2A1E"/>
    <w:rsid w:val="00AB2BA3"/>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9C1"/>
    <w:rsid w:val="00AB5A48"/>
    <w:rsid w:val="00AB5C2D"/>
    <w:rsid w:val="00AB5F16"/>
    <w:rsid w:val="00AB5FAD"/>
    <w:rsid w:val="00AB6192"/>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724"/>
    <w:rsid w:val="00AC0AFE"/>
    <w:rsid w:val="00AC0CF8"/>
    <w:rsid w:val="00AC0DD5"/>
    <w:rsid w:val="00AC101A"/>
    <w:rsid w:val="00AC1455"/>
    <w:rsid w:val="00AC151D"/>
    <w:rsid w:val="00AC1859"/>
    <w:rsid w:val="00AC19F7"/>
    <w:rsid w:val="00AC1BBD"/>
    <w:rsid w:val="00AC1C27"/>
    <w:rsid w:val="00AC1CA6"/>
    <w:rsid w:val="00AC1CAC"/>
    <w:rsid w:val="00AC1D28"/>
    <w:rsid w:val="00AC1E2A"/>
    <w:rsid w:val="00AC1E91"/>
    <w:rsid w:val="00AC1EE0"/>
    <w:rsid w:val="00AC2129"/>
    <w:rsid w:val="00AC25DC"/>
    <w:rsid w:val="00AC28F9"/>
    <w:rsid w:val="00AC29B6"/>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235"/>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DB5"/>
    <w:rsid w:val="00AC5E37"/>
    <w:rsid w:val="00AC6137"/>
    <w:rsid w:val="00AC6156"/>
    <w:rsid w:val="00AC61E1"/>
    <w:rsid w:val="00AC6324"/>
    <w:rsid w:val="00AC6491"/>
    <w:rsid w:val="00AC6556"/>
    <w:rsid w:val="00AC6784"/>
    <w:rsid w:val="00AC69F2"/>
    <w:rsid w:val="00AC6A77"/>
    <w:rsid w:val="00AC6B8C"/>
    <w:rsid w:val="00AC6C37"/>
    <w:rsid w:val="00AC70C3"/>
    <w:rsid w:val="00AC7344"/>
    <w:rsid w:val="00AC73F7"/>
    <w:rsid w:val="00AC75EC"/>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AC"/>
    <w:rsid w:val="00AD0DCD"/>
    <w:rsid w:val="00AD0FF0"/>
    <w:rsid w:val="00AD10A8"/>
    <w:rsid w:val="00AD1281"/>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515"/>
    <w:rsid w:val="00AD4607"/>
    <w:rsid w:val="00AD46B6"/>
    <w:rsid w:val="00AD482F"/>
    <w:rsid w:val="00AD494B"/>
    <w:rsid w:val="00AD4B3E"/>
    <w:rsid w:val="00AD4C77"/>
    <w:rsid w:val="00AD4E3A"/>
    <w:rsid w:val="00AD5023"/>
    <w:rsid w:val="00AD5197"/>
    <w:rsid w:val="00AD51F8"/>
    <w:rsid w:val="00AD52CB"/>
    <w:rsid w:val="00AD530D"/>
    <w:rsid w:val="00AD531B"/>
    <w:rsid w:val="00AD57E9"/>
    <w:rsid w:val="00AD596E"/>
    <w:rsid w:val="00AD5DF7"/>
    <w:rsid w:val="00AD5ED2"/>
    <w:rsid w:val="00AD5F53"/>
    <w:rsid w:val="00AD5FC8"/>
    <w:rsid w:val="00AD603D"/>
    <w:rsid w:val="00AD61AF"/>
    <w:rsid w:val="00AD6394"/>
    <w:rsid w:val="00AD63BB"/>
    <w:rsid w:val="00AD648B"/>
    <w:rsid w:val="00AD6853"/>
    <w:rsid w:val="00AD689B"/>
    <w:rsid w:val="00AD6AFA"/>
    <w:rsid w:val="00AD6BDA"/>
    <w:rsid w:val="00AD6DB4"/>
    <w:rsid w:val="00AD701D"/>
    <w:rsid w:val="00AD70E0"/>
    <w:rsid w:val="00AD7307"/>
    <w:rsid w:val="00AD75BD"/>
    <w:rsid w:val="00AD7689"/>
    <w:rsid w:val="00AD7737"/>
    <w:rsid w:val="00AD78F6"/>
    <w:rsid w:val="00AD7929"/>
    <w:rsid w:val="00AD7B09"/>
    <w:rsid w:val="00AD7CDF"/>
    <w:rsid w:val="00AD7D59"/>
    <w:rsid w:val="00AD7D7B"/>
    <w:rsid w:val="00AD7DBE"/>
    <w:rsid w:val="00AD7F95"/>
    <w:rsid w:val="00AE0052"/>
    <w:rsid w:val="00AE0454"/>
    <w:rsid w:val="00AE0768"/>
    <w:rsid w:val="00AE087C"/>
    <w:rsid w:val="00AE0B5F"/>
    <w:rsid w:val="00AE0D18"/>
    <w:rsid w:val="00AE0F0C"/>
    <w:rsid w:val="00AE10BF"/>
    <w:rsid w:val="00AE114C"/>
    <w:rsid w:val="00AE1193"/>
    <w:rsid w:val="00AE121F"/>
    <w:rsid w:val="00AE158A"/>
    <w:rsid w:val="00AE1633"/>
    <w:rsid w:val="00AE1845"/>
    <w:rsid w:val="00AE1AFA"/>
    <w:rsid w:val="00AE1B2E"/>
    <w:rsid w:val="00AE1B8E"/>
    <w:rsid w:val="00AE1C81"/>
    <w:rsid w:val="00AE1F3B"/>
    <w:rsid w:val="00AE1F64"/>
    <w:rsid w:val="00AE2091"/>
    <w:rsid w:val="00AE20D4"/>
    <w:rsid w:val="00AE2242"/>
    <w:rsid w:val="00AE2690"/>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8E9"/>
    <w:rsid w:val="00AE599A"/>
    <w:rsid w:val="00AE59E9"/>
    <w:rsid w:val="00AE5B4E"/>
    <w:rsid w:val="00AE5C15"/>
    <w:rsid w:val="00AE5DF1"/>
    <w:rsid w:val="00AE5F17"/>
    <w:rsid w:val="00AE6152"/>
    <w:rsid w:val="00AE62B9"/>
    <w:rsid w:val="00AE6745"/>
    <w:rsid w:val="00AE69B5"/>
    <w:rsid w:val="00AE6E27"/>
    <w:rsid w:val="00AE6E30"/>
    <w:rsid w:val="00AE6EA8"/>
    <w:rsid w:val="00AE6EEE"/>
    <w:rsid w:val="00AE6F49"/>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32E"/>
    <w:rsid w:val="00AF04BB"/>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945"/>
    <w:rsid w:val="00AF29A7"/>
    <w:rsid w:val="00AF2A08"/>
    <w:rsid w:val="00AF2A65"/>
    <w:rsid w:val="00AF2A8A"/>
    <w:rsid w:val="00AF2B1D"/>
    <w:rsid w:val="00AF2D64"/>
    <w:rsid w:val="00AF2DC2"/>
    <w:rsid w:val="00AF2E3D"/>
    <w:rsid w:val="00AF3276"/>
    <w:rsid w:val="00AF32C7"/>
    <w:rsid w:val="00AF3326"/>
    <w:rsid w:val="00AF3473"/>
    <w:rsid w:val="00AF34D8"/>
    <w:rsid w:val="00AF3944"/>
    <w:rsid w:val="00AF3BCD"/>
    <w:rsid w:val="00AF3C66"/>
    <w:rsid w:val="00AF3E9B"/>
    <w:rsid w:val="00AF3ED8"/>
    <w:rsid w:val="00AF3F0E"/>
    <w:rsid w:val="00AF400D"/>
    <w:rsid w:val="00AF422A"/>
    <w:rsid w:val="00AF4289"/>
    <w:rsid w:val="00AF4318"/>
    <w:rsid w:val="00AF4334"/>
    <w:rsid w:val="00AF4349"/>
    <w:rsid w:val="00AF45CD"/>
    <w:rsid w:val="00AF464E"/>
    <w:rsid w:val="00AF46A3"/>
    <w:rsid w:val="00AF4733"/>
    <w:rsid w:val="00AF4809"/>
    <w:rsid w:val="00AF4941"/>
    <w:rsid w:val="00AF4A07"/>
    <w:rsid w:val="00AF4B24"/>
    <w:rsid w:val="00AF4BD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745"/>
    <w:rsid w:val="00AF6CD4"/>
    <w:rsid w:val="00AF6DC9"/>
    <w:rsid w:val="00AF7020"/>
    <w:rsid w:val="00AF70D1"/>
    <w:rsid w:val="00AF7196"/>
    <w:rsid w:val="00AF71D2"/>
    <w:rsid w:val="00AF72FB"/>
    <w:rsid w:val="00AF7515"/>
    <w:rsid w:val="00AF7731"/>
    <w:rsid w:val="00AF77E4"/>
    <w:rsid w:val="00AF7CD4"/>
    <w:rsid w:val="00AF7CFA"/>
    <w:rsid w:val="00AF7D71"/>
    <w:rsid w:val="00B0008B"/>
    <w:rsid w:val="00B001C9"/>
    <w:rsid w:val="00B00341"/>
    <w:rsid w:val="00B00442"/>
    <w:rsid w:val="00B005A7"/>
    <w:rsid w:val="00B00927"/>
    <w:rsid w:val="00B00DAA"/>
    <w:rsid w:val="00B010E3"/>
    <w:rsid w:val="00B01273"/>
    <w:rsid w:val="00B012C4"/>
    <w:rsid w:val="00B013FC"/>
    <w:rsid w:val="00B01440"/>
    <w:rsid w:val="00B014F0"/>
    <w:rsid w:val="00B01559"/>
    <w:rsid w:val="00B015F7"/>
    <w:rsid w:val="00B01870"/>
    <w:rsid w:val="00B0189F"/>
    <w:rsid w:val="00B0191B"/>
    <w:rsid w:val="00B01EE1"/>
    <w:rsid w:val="00B01FDB"/>
    <w:rsid w:val="00B02187"/>
    <w:rsid w:val="00B02552"/>
    <w:rsid w:val="00B02555"/>
    <w:rsid w:val="00B025D1"/>
    <w:rsid w:val="00B026A3"/>
    <w:rsid w:val="00B0274B"/>
    <w:rsid w:val="00B02895"/>
    <w:rsid w:val="00B028FC"/>
    <w:rsid w:val="00B02A96"/>
    <w:rsid w:val="00B02AE7"/>
    <w:rsid w:val="00B02BDC"/>
    <w:rsid w:val="00B02C9D"/>
    <w:rsid w:val="00B02D0E"/>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371"/>
    <w:rsid w:val="00B05534"/>
    <w:rsid w:val="00B056E9"/>
    <w:rsid w:val="00B0578F"/>
    <w:rsid w:val="00B05DAF"/>
    <w:rsid w:val="00B05E39"/>
    <w:rsid w:val="00B05E52"/>
    <w:rsid w:val="00B05EFF"/>
    <w:rsid w:val="00B062A5"/>
    <w:rsid w:val="00B062CB"/>
    <w:rsid w:val="00B0642A"/>
    <w:rsid w:val="00B06565"/>
    <w:rsid w:val="00B065B0"/>
    <w:rsid w:val="00B067BD"/>
    <w:rsid w:val="00B06929"/>
    <w:rsid w:val="00B069A0"/>
    <w:rsid w:val="00B069F4"/>
    <w:rsid w:val="00B06B14"/>
    <w:rsid w:val="00B06BAA"/>
    <w:rsid w:val="00B07088"/>
    <w:rsid w:val="00B07107"/>
    <w:rsid w:val="00B071BA"/>
    <w:rsid w:val="00B073CA"/>
    <w:rsid w:val="00B074A3"/>
    <w:rsid w:val="00B074B0"/>
    <w:rsid w:val="00B075E1"/>
    <w:rsid w:val="00B07A0D"/>
    <w:rsid w:val="00B07ABB"/>
    <w:rsid w:val="00B07BE0"/>
    <w:rsid w:val="00B07C60"/>
    <w:rsid w:val="00B07C84"/>
    <w:rsid w:val="00B07E31"/>
    <w:rsid w:val="00B07FFB"/>
    <w:rsid w:val="00B1044A"/>
    <w:rsid w:val="00B10524"/>
    <w:rsid w:val="00B10718"/>
    <w:rsid w:val="00B10909"/>
    <w:rsid w:val="00B10AAA"/>
    <w:rsid w:val="00B1104C"/>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BFD"/>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D6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5B9"/>
    <w:rsid w:val="00B21785"/>
    <w:rsid w:val="00B21C4E"/>
    <w:rsid w:val="00B21DBA"/>
    <w:rsid w:val="00B21E5B"/>
    <w:rsid w:val="00B220DE"/>
    <w:rsid w:val="00B2224A"/>
    <w:rsid w:val="00B2253A"/>
    <w:rsid w:val="00B225C4"/>
    <w:rsid w:val="00B22652"/>
    <w:rsid w:val="00B2281D"/>
    <w:rsid w:val="00B2286D"/>
    <w:rsid w:val="00B22A36"/>
    <w:rsid w:val="00B22F1C"/>
    <w:rsid w:val="00B22FFD"/>
    <w:rsid w:val="00B230B4"/>
    <w:rsid w:val="00B230DA"/>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46"/>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57"/>
    <w:rsid w:val="00B302FD"/>
    <w:rsid w:val="00B3036A"/>
    <w:rsid w:val="00B307B1"/>
    <w:rsid w:val="00B3093A"/>
    <w:rsid w:val="00B30A05"/>
    <w:rsid w:val="00B30C30"/>
    <w:rsid w:val="00B30D09"/>
    <w:rsid w:val="00B30D1F"/>
    <w:rsid w:val="00B30D3F"/>
    <w:rsid w:val="00B30EFB"/>
    <w:rsid w:val="00B30F87"/>
    <w:rsid w:val="00B31030"/>
    <w:rsid w:val="00B31062"/>
    <w:rsid w:val="00B3115F"/>
    <w:rsid w:val="00B3132C"/>
    <w:rsid w:val="00B31519"/>
    <w:rsid w:val="00B31707"/>
    <w:rsid w:val="00B31719"/>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35"/>
    <w:rsid w:val="00B33751"/>
    <w:rsid w:val="00B339B2"/>
    <w:rsid w:val="00B339D0"/>
    <w:rsid w:val="00B33C44"/>
    <w:rsid w:val="00B33D37"/>
    <w:rsid w:val="00B33DCB"/>
    <w:rsid w:val="00B33F1A"/>
    <w:rsid w:val="00B33F35"/>
    <w:rsid w:val="00B3414B"/>
    <w:rsid w:val="00B342F0"/>
    <w:rsid w:val="00B34593"/>
    <w:rsid w:val="00B34704"/>
    <w:rsid w:val="00B347E8"/>
    <w:rsid w:val="00B34840"/>
    <w:rsid w:val="00B34979"/>
    <w:rsid w:val="00B34A30"/>
    <w:rsid w:val="00B34A43"/>
    <w:rsid w:val="00B34E76"/>
    <w:rsid w:val="00B34FAD"/>
    <w:rsid w:val="00B34FB1"/>
    <w:rsid w:val="00B350D9"/>
    <w:rsid w:val="00B3510A"/>
    <w:rsid w:val="00B35164"/>
    <w:rsid w:val="00B352E6"/>
    <w:rsid w:val="00B3566E"/>
    <w:rsid w:val="00B35678"/>
    <w:rsid w:val="00B35CC0"/>
    <w:rsid w:val="00B35E69"/>
    <w:rsid w:val="00B362FE"/>
    <w:rsid w:val="00B36877"/>
    <w:rsid w:val="00B36A55"/>
    <w:rsid w:val="00B36CE2"/>
    <w:rsid w:val="00B36E94"/>
    <w:rsid w:val="00B37160"/>
    <w:rsid w:val="00B37176"/>
    <w:rsid w:val="00B371BE"/>
    <w:rsid w:val="00B37267"/>
    <w:rsid w:val="00B372CB"/>
    <w:rsid w:val="00B37310"/>
    <w:rsid w:val="00B373E7"/>
    <w:rsid w:val="00B3767C"/>
    <w:rsid w:val="00B379A3"/>
    <w:rsid w:val="00B37FDD"/>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CCF"/>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29C"/>
    <w:rsid w:val="00B443D0"/>
    <w:rsid w:val="00B444B1"/>
    <w:rsid w:val="00B44656"/>
    <w:rsid w:val="00B446AA"/>
    <w:rsid w:val="00B44BCF"/>
    <w:rsid w:val="00B44E7C"/>
    <w:rsid w:val="00B45393"/>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BAC"/>
    <w:rsid w:val="00B46CD1"/>
    <w:rsid w:val="00B46DEC"/>
    <w:rsid w:val="00B46E72"/>
    <w:rsid w:val="00B47037"/>
    <w:rsid w:val="00B4705B"/>
    <w:rsid w:val="00B470DE"/>
    <w:rsid w:val="00B472D5"/>
    <w:rsid w:val="00B473DA"/>
    <w:rsid w:val="00B473F8"/>
    <w:rsid w:val="00B47586"/>
    <w:rsid w:val="00B478F6"/>
    <w:rsid w:val="00B47B23"/>
    <w:rsid w:val="00B47BAA"/>
    <w:rsid w:val="00B47BAB"/>
    <w:rsid w:val="00B47C0A"/>
    <w:rsid w:val="00B47F08"/>
    <w:rsid w:val="00B47F55"/>
    <w:rsid w:val="00B47F57"/>
    <w:rsid w:val="00B47F7D"/>
    <w:rsid w:val="00B47F96"/>
    <w:rsid w:val="00B47FA0"/>
    <w:rsid w:val="00B50132"/>
    <w:rsid w:val="00B50225"/>
    <w:rsid w:val="00B50252"/>
    <w:rsid w:val="00B50413"/>
    <w:rsid w:val="00B504A4"/>
    <w:rsid w:val="00B505FD"/>
    <w:rsid w:val="00B50621"/>
    <w:rsid w:val="00B50679"/>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2EF5"/>
    <w:rsid w:val="00B5308D"/>
    <w:rsid w:val="00B532DE"/>
    <w:rsid w:val="00B53303"/>
    <w:rsid w:val="00B533D9"/>
    <w:rsid w:val="00B53450"/>
    <w:rsid w:val="00B53584"/>
    <w:rsid w:val="00B53817"/>
    <w:rsid w:val="00B5388E"/>
    <w:rsid w:val="00B53942"/>
    <w:rsid w:val="00B539CF"/>
    <w:rsid w:val="00B53A52"/>
    <w:rsid w:val="00B53B48"/>
    <w:rsid w:val="00B53D2E"/>
    <w:rsid w:val="00B53EE0"/>
    <w:rsid w:val="00B53FD8"/>
    <w:rsid w:val="00B54085"/>
    <w:rsid w:val="00B542C2"/>
    <w:rsid w:val="00B5454A"/>
    <w:rsid w:val="00B545ED"/>
    <w:rsid w:val="00B54A30"/>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C11"/>
    <w:rsid w:val="00B55E48"/>
    <w:rsid w:val="00B55FB5"/>
    <w:rsid w:val="00B560B7"/>
    <w:rsid w:val="00B5618D"/>
    <w:rsid w:val="00B564D1"/>
    <w:rsid w:val="00B5652E"/>
    <w:rsid w:val="00B565FC"/>
    <w:rsid w:val="00B56731"/>
    <w:rsid w:val="00B569D5"/>
    <w:rsid w:val="00B56D35"/>
    <w:rsid w:val="00B56DBA"/>
    <w:rsid w:val="00B57157"/>
    <w:rsid w:val="00B57183"/>
    <w:rsid w:val="00B5720D"/>
    <w:rsid w:val="00B57366"/>
    <w:rsid w:val="00B575A5"/>
    <w:rsid w:val="00B57734"/>
    <w:rsid w:val="00B578E7"/>
    <w:rsid w:val="00B57957"/>
    <w:rsid w:val="00B579E4"/>
    <w:rsid w:val="00B57A5A"/>
    <w:rsid w:val="00B57A6B"/>
    <w:rsid w:val="00B57B53"/>
    <w:rsid w:val="00B57C8F"/>
    <w:rsid w:val="00B57E97"/>
    <w:rsid w:val="00B57EA7"/>
    <w:rsid w:val="00B57F42"/>
    <w:rsid w:val="00B60062"/>
    <w:rsid w:val="00B6006A"/>
    <w:rsid w:val="00B60121"/>
    <w:rsid w:val="00B6020C"/>
    <w:rsid w:val="00B60227"/>
    <w:rsid w:val="00B6023C"/>
    <w:rsid w:val="00B603E2"/>
    <w:rsid w:val="00B604A0"/>
    <w:rsid w:val="00B6073D"/>
    <w:rsid w:val="00B608E5"/>
    <w:rsid w:val="00B608FF"/>
    <w:rsid w:val="00B60A03"/>
    <w:rsid w:val="00B60A3C"/>
    <w:rsid w:val="00B60A44"/>
    <w:rsid w:val="00B60B1C"/>
    <w:rsid w:val="00B60C6E"/>
    <w:rsid w:val="00B60F00"/>
    <w:rsid w:val="00B613F6"/>
    <w:rsid w:val="00B614A6"/>
    <w:rsid w:val="00B614F8"/>
    <w:rsid w:val="00B617BB"/>
    <w:rsid w:val="00B618FB"/>
    <w:rsid w:val="00B619BE"/>
    <w:rsid w:val="00B61AD2"/>
    <w:rsid w:val="00B61E77"/>
    <w:rsid w:val="00B61EB9"/>
    <w:rsid w:val="00B61F2F"/>
    <w:rsid w:val="00B61FEB"/>
    <w:rsid w:val="00B62018"/>
    <w:rsid w:val="00B62239"/>
    <w:rsid w:val="00B62325"/>
    <w:rsid w:val="00B62369"/>
    <w:rsid w:val="00B62539"/>
    <w:rsid w:val="00B625C5"/>
    <w:rsid w:val="00B62699"/>
    <w:rsid w:val="00B62A08"/>
    <w:rsid w:val="00B62C4F"/>
    <w:rsid w:val="00B62E2C"/>
    <w:rsid w:val="00B62F09"/>
    <w:rsid w:val="00B632D4"/>
    <w:rsid w:val="00B633D2"/>
    <w:rsid w:val="00B6345A"/>
    <w:rsid w:val="00B63660"/>
    <w:rsid w:val="00B63788"/>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AD"/>
    <w:rsid w:val="00B67FC0"/>
    <w:rsid w:val="00B700F5"/>
    <w:rsid w:val="00B70367"/>
    <w:rsid w:val="00B704CB"/>
    <w:rsid w:val="00B705D1"/>
    <w:rsid w:val="00B705DD"/>
    <w:rsid w:val="00B707E2"/>
    <w:rsid w:val="00B709CC"/>
    <w:rsid w:val="00B70C49"/>
    <w:rsid w:val="00B70DB2"/>
    <w:rsid w:val="00B70E83"/>
    <w:rsid w:val="00B71035"/>
    <w:rsid w:val="00B710D6"/>
    <w:rsid w:val="00B7123F"/>
    <w:rsid w:val="00B71460"/>
    <w:rsid w:val="00B71581"/>
    <w:rsid w:val="00B717E9"/>
    <w:rsid w:val="00B718B2"/>
    <w:rsid w:val="00B71A0E"/>
    <w:rsid w:val="00B71CC5"/>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34C"/>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EE8"/>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2FD"/>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005"/>
    <w:rsid w:val="00B87188"/>
    <w:rsid w:val="00B8718C"/>
    <w:rsid w:val="00B873C5"/>
    <w:rsid w:val="00B87437"/>
    <w:rsid w:val="00B874F8"/>
    <w:rsid w:val="00B87635"/>
    <w:rsid w:val="00B877EF"/>
    <w:rsid w:val="00B87873"/>
    <w:rsid w:val="00B87D09"/>
    <w:rsid w:val="00B87DDF"/>
    <w:rsid w:val="00B900FE"/>
    <w:rsid w:val="00B902B4"/>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22"/>
    <w:rsid w:val="00B94A45"/>
    <w:rsid w:val="00B94AA8"/>
    <w:rsid w:val="00B94BFB"/>
    <w:rsid w:val="00B94DE3"/>
    <w:rsid w:val="00B94EE4"/>
    <w:rsid w:val="00B95054"/>
    <w:rsid w:val="00B95102"/>
    <w:rsid w:val="00B9519D"/>
    <w:rsid w:val="00B951F3"/>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AAB"/>
    <w:rsid w:val="00B97B1F"/>
    <w:rsid w:val="00B97C52"/>
    <w:rsid w:val="00B97C5D"/>
    <w:rsid w:val="00B97E2E"/>
    <w:rsid w:val="00B97E8D"/>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252"/>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7F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59E"/>
    <w:rsid w:val="00BA5637"/>
    <w:rsid w:val="00BA5684"/>
    <w:rsid w:val="00BA56BF"/>
    <w:rsid w:val="00BA598A"/>
    <w:rsid w:val="00BA5AC1"/>
    <w:rsid w:val="00BA5CC7"/>
    <w:rsid w:val="00BA5E4D"/>
    <w:rsid w:val="00BA5FD2"/>
    <w:rsid w:val="00BA6044"/>
    <w:rsid w:val="00BA60E7"/>
    <w:rsid w:val="00BA613C"/>
    <w:rsid w:val="00BA65C0"/>
    <w:rsid w:val="00BA6CC8"/>
    <w:rsid w:val="00BA6CEB"/>
    <w:rsid w:val="00BA6D64"/>
    <w:rsid w:val="00BA6E84"/>
    <w:rsid w:val="00BA71EE"/>
    <w:rsid w:val="00BA7203"/>
    <w:rsid w:val="00BA732C"/>
    <w:rsid w:val="00BA73C8"/>
    <w:rsid w:val="00BA73D2"/>
    <w:rsid w:val="00BA7482"/>
    <w:rsid w:val="00BA7632"/>
    <w:rsid w:val="00BA77E1"/>
    <w:rsid w:val="00BA7AE6"/>
    <w:rsid w:val="00BA7D55"/>
    <w:rsid w:val="00BA7F6C"/>
    <w:rsid w:val="00BB01B0"/>
    <w:rsid w:val="00BB024B"/>
    <w:rsid w:val="00BB029C"/>
    <w:rsid w:val="00BB02FA"/>
    <w:rsid w:val="00BB0574"/>
    <w:rsid w:val="00BB0650"/>
    <w:rsid w:val="00BB07DE"/>
    <w:rsid w:val="00BB08C3"/>
    <w:rsid w:val="00BB0D2B"/>
    <w:rsid w:val="00BB0EFF"/>
    <w:rsid w:val="00BB10A7"/>
    <w:rsid w:val="00BB1128"/>
    <w:rsid w:val="00BB1303"/>
    <w:rsid w:val="00BB14A5"/>
    <w:rsid w:val="00BB180B"/>
    <w:rsid w:val="00BB2042"/>
    <w:rsid w:val="00BB2387"/>
    <w:rsid w:val="00BB25B7"/>
    <w:rsid w:val="00BB26F4"/>
    <w:rsid w:val="00BB289A"/>
    <w:rsid w:val="00BB293B"/>
    <w:rsid w:val="00BB2E0A"/>
    <w:rsid w:val="00BB3544"/>
    <w:rsid w:val="00BB3668"/>
    <w:rsid w:val="00BB399B"/>
    <w:rsid w:val="00BB3D02"/>
    <w:rsid w:val="00BB3E1F"/>
    <w:rsid w:val="00BB3F5F"/>
    <w:rsid w:val="00BB4251"/>
    <w:rsid w:val="00BB44A5"/>
    <w:rsid w:val="00BB4813"/>
    <w:rsid w:val="00BB4CBA"/>
    <w:rsid w:val="00BB4D36"/>
    <w:rsid w:val="00BB4FE3"/>
    <w:rsid w:val="00BB50F9"/>
    <w:rsid w:val="00BB5137"/>
    <w:rsid w:val="00BB5209"/>
    <w:rsid w:val="00BB5379"/>
    <w:rsid w:val="00BB545E"/>
    <w:rsid w:val="00BB5613"/>
    <w:rsid w:val="00BB56D8"/>
    <w:rsid w:val="00BB5735"/>
    <w:rsid w:val="00BB5771"/>
    <w:rsid w:val="00BB5965"/>
    <w:rsid w:val="00BB5ABC"/>
    <w:rsid w:val="00BB5C2C"/>
    <w:rsid w:val="00BB5CA1"/>
    <w:rsid w:val="00BB5CC5"/>
    <w:rsid w:val="00BB5CF9"/>
    <w:rsid w:val="00BB5D44"/>
    <w:rsid w:val="00BB5D81"/>
    <w:rsid w:val="00BB5EBA"/>
    <w:rsid w:val="00BB6095"/>
    <w:rsid w:val="00BB60D7"/>
    <w:rsid w:val="00BB60F8"/>
    <w:rsid w:val="00BB62EC"/>
    <w:rsid w:val="00BB6430"/>
    <w:rsid w:val="00BB68EA"/>
    <w:rsid w:val="00BB69B2"/>
    <w:rsid w:val="00BB6A53"/>
    <w:rsid w:val="00BB6B00"/>
    <w:rsid w:val="00BB6B31"/>
    <w:rsid w:val="00BB6E69"/>
    <w:rsid w:val="00BB714F"/>
    <w:rsid w:val="00BB7231"/>
    <w:rsid w:val="00BB7461"/>
    <w:rsid w:val="00BB7577"/>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97D"/>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3DAB"/>
    <w:rsid w:val="00BC4161"/>
    <w:rsid w:val="00BC418F"/>
    <w:rsid w:val="00BC4269"/>
    <w:rsid w:val="00BC4364"/>
    <w:rsid w:val="00BC4373"/>
    <w:rsid w:val="00BC43CA"/>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0A"/>
    <w:rsid w:val="00BC6B40"/>
    <w:rsid w:val="00BC6BAF"/>
    <w:rsid w:val="00BC6C01"/>
    <w:rsid w:val="00BC6C4E"/>
    <w:rsid w:val="00BC6C80"/>
    <w:rsid w:val="00BC6E2E"/>
    <w:rsid w:val="00BC7068"/>
    <w:rsid w:val="00BC711E"/>
    <w:rsid w:val="00BC7299"/>
    <w:rsid w:val="00BC7394"/>
    <w:rsid w:val="00BC7455"/>
    <w:rsid w:val="00BC763F"/>
    <w:rsid w:val="00BC787D"/>
    <w:rsid w:val="00BC7902"/>
    <w:rsid w:val="00BC7A37"/>
    <w:rsid w:val="00BC7ABC"/>
    <w:rsid w:val="00BC7E65"/>
    <w:rsid w:val="00BC7E7A"/>
    <w:rsid w:val="00BD0035"/>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1F26"/>
    <w:rsid w:val="00BD23F7"/>
    <w:rsid w:val="00BD2579"/>
    <w:rsid w:val="00BD25F9"/>
    <w:rsid w:val="00BD279D"/>
    <w:rsid w:val="00BD2995"/>
    <w:rsid w:val="00BD2AE9"/>
    <w:rsid w:val="00BD2BEA"/>
    <w:rsid w:val="00BD2C5C"/>
    <w:rsid w:val="00BD2DE6"/>
    <w:rsid w:val="00BD2E24"/>
    <w:rsid w:val="00BD2E3C"/>
    <w:rsid w:val="00BD319E"/>
    <w:rsid w:val="00BD3252"/>
    <w:rsid w:val="00BD35F4"/>
    <w:rsid w:val="00BD36A6"/>
    <w:rsid w:val="00BD36FB"/>
    <w:rsid w:val="00BD396B"/>
    <w:rsid w:val="00BD3A0B"/>
    <w:rsid w:val="00BD409D"/>
    <w:rsid w:val="00BD40A0"/>
    <w:rsid w:val="00BD4210"/>
    <w:rsid w:val="00BD438C"/>
    <w:rsid w:val="00BD44D0"/>
    <w:rsid w:val="00BD457F"/>
    <w:rsid w:val="00BD4778"/>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BE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3D"/>
    <w:rsid w:val="00BE6E4A"/>
    <w:rsid w:val="00BE6EEC"/>
    <w:rsid w:val="00BE6F8C"/>
    <w:rsid w:val="00BE7024"/>
    <w:rsid w:val="00BE70E1"/>
    <w:rsid w:val="00BE7205"/>
    <w:rsid w:val="00BE7300"/>
    <w:rsid w:val="00BE758A"/>
    <w:rsid w:val="00BE75A0"/>
    <w:rsid w:val="00BE75EA"/>
    <w:rsid w:val="00BE773C"/>
    <w:rsid w:val="00BE7775"/>
    <w:rsid w:val="00BE77A9"/>
    <w:rsid w:val="00BE77DC"/>
    <w:rsid w:val="00BE789D"/>
    <w:rsid w:val="00BE7A2B"/>
    <w:rsid w:val="00BE7B15"/>
    <w:rsid w:val="00BE7D6D"/>
    <w:rsid w:val="00BE7DA8"/>
    <w:rsid w:val="00BE7FBC"/>
    <w:rsid w:val="00BE7FC1"/>
    <w:rsid w:val="00BF004B"/>
    <w:rsid w:val="00BF0332"/>
    <w:rsid w:val="00BF047F"/>
    <w:rsid w:val="00BF05C5"/>
    <w:rsid w:val="00BF05D4"/>
    <w:rsid w:val="00BF0800"/>
    <w:rsid w:val="00BF09A8"/>
    <w:rsid w:val="00BF105E"/>
    <w:rsid w:val="00BF10AF"/>
    <w:rsid w:val="00BF1473"/>
    <w:rsid w:val="00BF1681"/>
    <w:rsid w:val="00BF16D6"/>
    <w:rsid w:val="00BF17F3"/>
    <w:rsid w:val="00BF18FF"/>
    <w:rsid w:val="00BF1A0D"/>
    <w:rsid w:val="00BF1A80"/>
    <w:rsid w:val="00BF1D75"/>
    <w:rsid w:val="00BF1E36"/>
    <w:rsid w:val="00BF1E3E"/>
    <w:rsid w:val="00BF202D"/>
    <w:rsid w:val="00BF20DB"/>
    <w:rsid w:val="00BF20EA"/>
    <w:rsid w:val="00BF21C3"/>
    <w:rsid w:val="00BF224D"/>
    <w:rsid w:val="00BF2303"/>
    <w:rsid w:val="00BF2373"/>
    <w:rsid w:val="00BF2469"/>
    <w:rsid w:val="00BF2564"/>
    <w:rsid w:val="00BF2782"/>
    <w:rsid w:val="00BF27E1"/>
    <w:rsid w:val="00BF27F8"/>
    <w:rsid w:val="00BF2817"/>
    <w:rsid w:val="00BF284F"/>
    <w:rsid w:val="00BF29FB"/>
    <w:rsid w:val="00BF2AD6"/>
    <w:rsid w:val="00BF2B2C"/>
    <w:rsid w:val="00BF2B90"/>
    <w:rsid w:val="00BF2B99"/>
    <w:rsid w:val="00BF2C03"/>
    <w:rsid w:val="00BF2C31"/>
    <w:rsid w:val="00BF2CA1"/>
    <w:rsid w:val="00BF312A"/>
    <w:rsid w:val="00BF329F"/>
    <w:rsid w:val="00BF3425"/>
    <w:rsid w:val="00BF34E4"/>
    <w:rsid w:val="00BF3663"/>
    <w:rsid w:val="00BF3725"/>
    <w:rsid w:val="00BF3794"/>
    <w:rsid w:val="00BF3830"/>
    <w:rsid w:val="00BF394D"/>
    <w:rsid w:val="00BF3A83"/>
    <w:rsid w:val="00BF3AEE"/>
    <w:rsid w:val="00BF3BEE"/>
    <w:rsid w:val="00BF3BF8"/>
    <w:rsid w:val="00BF3DBE"/>
    <w:rsid w:val="00BF3EBD"/>
    <w:rsid w:val="00BF3FB9"/>
    <w:rsid w:val="00BF42ED"/>
    <w:rsid w:val="00BF43EC"/>
    <w:rsid w:val="00BF43F7"/>
    <w:rsid w:val="00BF44A8"/>
    <w:rsid w:val="00BF45BD"/>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9CD"/>
    <w:rsid w:val="00BF5A24"/>
    <w:rsid w:val="00BF5B21"/>
    <w:rsid w:val="00BF5C7F"/>
    <w:rsid w:val="00BF5DEA"/>
    <w:rsid w:val="00BF5EB0"/>
    <w:rsid w:val="00BF6033"/>
    <w:rsid w:val="00BF60E4"/>
    <w:rsid w:val="00BF6172"/>
    <w:rsid w:val="00BF632E"/>
    <w:rsid w:val="00BF639F"/>
    <w:rsid w:val="00BF66D5"/>
    <w:rsid w:val="00BF66F3"/>
    <w:rsid w:val="00BF6762"/>
    <w:rsid w:val="00BF67D9"/>
    <w:rsid w:val="00BF6831"/>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A8E"/>
    <w:rsid w:val="00C00B3A"/>
    <w:rsid w:val="00C00B98"/>
    <w:rsid w:val="00C00D95"/>
    <w:rsid w:val="00C0100C"/>
    <w:rsid w:val="00C01141"/>
    <w:rsid w:val="00C011FA"/>
    <w:rsid w:val="00C01200"/>
    <w:rsid w:val="00C01250"/>
    <w:rsid w:val="00C01640"/>
    <w:rsid w:val="00C0169F"/>
    <w:rsid w:val="00C01988"/>
    <w:rsid w:val="00C01B06"/>
    <w:rsid w:val="00C01B2F"/>
    <w:rsid w:val="00C020D9"/>
    <w:rsid w:val="00C02329"/>
    <w:rsid w:val="00C02468"/>
    <w:rsid w:val="00C02909"/>
    <w:rsid w:val="00C029BB"/>
    <w:rsid w:val="00C02FDC"/>
    <w:rsid w:val="00C03215"/>
    <w:rsid w:val="00C0324A"/>
    <w:rsid w:val="00C032D2"/>
    <w:rsid w:val="00C03798"/>
    <w:rsid w:val="00C0396A"/>
    <w:rsid w:val="00C03CD6"/>
    <w:rsid w:val="00C03E02"/>
    <w:rsid w:val="00C03F0F"/>
    <w:rsid w:val="00C0405C"/>
    <w:rsid w:val="00C04120"/>
    <w:rsid w:val="00C04139"/>
    <w:rsid w:val="00C0417D"/>
    <w:rsid w:val="00C042AF"/>
    <w:rsid w:val="00C04321"/>
    <w:rsid w:val="00C04750"/>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7AA"/>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28"/>
    <w:rsid w:val="00C121F1"/>
    <w:rsid w:val="00C12636"/>
    <w:rsid w:val="00C126C0"/>
    <w:rsid w:val="00C12726"/>
    <w:rsid w:val="00C1293B"/>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3C8E"/>
    <w:rsid w:val="00C14013"/>
    <w:rsid w:val="00C1403F"/>
    <w:rsid w:val="00C14155"/>
    <w:rsid w:val="00C14305"/>
    <w:rsid w:val="00C1465E"/>
    <w:rsid w:val="00C14B33"/>
    <w:rsid w:val="00C14C3D"/>
    <w:rsid w:val="00C14DDF"/>
    <w:rsid w:val="00C14EDB"/>
    <w:rsid w:val="00C14F83"/>
    <w:rsid w:val="00C14FD8"/>
    <w:rsid w:val="00C15034"/>
    <w:rsid w:val="00C153EC"/>
    <w:rsid w:val="00C1574C"/>
    <w:rsid w:val="00C15985"/>
    <w:rsid w:val="00C15AD4"/>
    <w:rsid w:val="00C15B8D"/>
    <w:rsid w:val="00C15D34"/>
    <w:rsid w:val="00C15E26"/>
    <w:rsid w:val="00C15F56"/>
    <w:rsid w:val="00C15F80"/>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23"/>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4E79"/>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648"/>
    <w:rsid w:val="00C27736"/>
    <w:rsid w:val="00C277E7"/>
    <w:rsid w:val="00C278A1"/>
    <w:rsid w:val="00C279AB"/>
    <w:rsid w:val="00C279C8"/>
    <w:rsid w:val="00C27BB0"/>
    <w:rsid w:val="00C27BBB"/>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B6"/>
    <w:rsid w:val="00C318E9"/>
    <w:rsid w:val="00C31971"/>
    <w:rsid w:val="00C31A90"/>
    <w:rsid w:val="00C31B37"/>
    <w:rsid w:val="00C31C25"/>
    <w:rsid w:val="00C31C3F"/>
    <w:rsid w:val="00C31C56"/>
    <w:rsid w:val="00C31F07"/>
    <w:rsid w:val="00C32299"/>
    <w:rsid w:val="00C322F9"/>
    <w:rsid w:val="00C324CE"/>
    <w:rsid w:val="00C324E6"/>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3AB"/>
    <w:rsid w:val="00C35540"/>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37CDE"/>
    <w:rsid w:val="00C40039"/>
    <w:rsid w:val="00C402BB"/>
    <w:rsid w:val="00C402EF"/>
    <w:rsid w:val="00C4045B"/>
    <w:rsid w:val="00C40485"/>
    <w:rsid w:val="00C405CD"/>
    <w:rsid w:val="00C40790"/>
    <w:rsid w:val="00C40983"/>
    <w:rsid w:val="00C409C1"/>
    <w:rsid w:val="00C40A6F"/>
    <w:rsid w:val="00C40AF1"/>
    <w:rsid w:val="00C40F96"/>
    <w:rsid w:val="00C41179"/>
    <w:rsid w:val="00C4119A"/>
    <w:rsid w:val="00C412EE"/>
    <w:rsid w:val="00C4131A"/>
    <w:rsid w:val="00C4139A"/>
    <w:rsid w:val="00C41648"/>
    <w:rsid w:val="00C417ED"/>
    <w:rsid w:val="00C419F6"/>
    <w:rsid w:val="00C41A55"/>
    <w:rsid w:val="00C41C5A"/>
    <w:rsid w:val="00C41CC6"/>
    <w:rsid w:val="00C4214D"/>
    <w:rsid w:val="00C4214E"/>
    <w:rsid w:val="00C4216E"/>
    <w:rsid w:val="00C42304"/>
    <w:rsid w:val="00C424AF"/>
    <w:rsid w:val="00C42624"/>
    <w:rsid w:val="00C42803"/>
    <w:rsid w:val="00C42818"/>
    <w:rsid w:val="00C42AEF"/>
    <w:rsid w:val="00C42D5A"/>
    <w:rsid w:val="00C42D6F"/>
    <w:rsid w:val="00C430BE"/>
    <w:rsid w:val="00C4325B"/>
    <w:rsid w:val="00C433BD"/>
    <w:rsid w:val="00C43955"/>
    <w:rsid w:val="00C4399C"/>
    <w:rsid w:val="00C43C72"/>
    <w:rsid w:val="00C44088"/>
    <w:rsid w:val="00C440B4"/>
    <w:rsid w:val="00C44451"/>
    <w:rsid w:val="00C4494C"/>
    <w:rsid w:val="00C44985"/>
    <w:rsid w:val="00C449A6"/>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6C8"/>
    <w:rsid w:val="00C4684F"/>
    <w:rsid w:val="00C469DC"/>
    <w:rsid w:val="00C46A32"/>
    <w:rsid w:val="00C46BDB"/>
    <w:rsid w:val="00C46D5F"/>
    <w:rsid w:val="00C46E1C"/>
    <w:rsid w:val="00C4727C"/>
    <w:rsid w:val="00C47380"/>
    <w:rsid w:val="00C47657"/>
    <w:rsid w:val="00C47708"/>
    <w:rsid w:val="00C477D9"/>
    <w:rsid w:val="00C47CA9"/>
    <w:rsid w:val="00C47CEA"/>
    <w:rsid w:val="00C47D38"/>
    <w:rsid w:val="00C47DF5"/>
    <w:rsid w:val="00C47F2E"/>
    <w:rsid w:val="00C47F6F"/>
    <w:rsid w:val="00C47FED"/>
    <w:rsid w:val="00C50121"/>
    <w:rsid w:val="00C5022E"/>
    <w:rsid w:val="00C50801"/>
    <w:rsid w:val="00C50958"/>
    <w:rsid w:val="00C50A38"/>
    <w:rsid w:val="00C50B65"/>
    <w:rsid w:val="00C50C8B"/>
    <w:rsid w:val="00C50E42"/>
    <w:rsid w:val="00C50EF2"/>
    <w:rsid w:val="00C50FD6"/>
    <w:rsid w:val="00C510DD"/>
    <w:rsid w:val="00C510F0"/>
    <w:rsid w:val="00C51269"/>
    <w:rsid w:val="00C5166E"/>
    <w:rsid w:val="00C5171B"/>
    <w:rsid w:val="00C5190A"/>
    <w:rsid w:val="00C521CC"/>
    <w:rsid w:val="00C52272"/>
    <w:rsid w:val="00C522A2"/>
    <w:rsid w:val="00C522D3"/>
    <w:rsid w:val="00C52320"/>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CE"/>
    <w:rsid w:val="00C53888"/>
    <w:rsid w:val="00C538C1"/>
    <w:rsid w:val="00C53AEA"/>
    <w:rsid w:val="00C53C9B"/>
    <w:rsid w:val="00C53F8A"/>
    <w:rsid w:val="00C53FF7"/>
    <w:rsid w:val="00C540A3"/>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46A"/>
    <w:rsid w:val="00C56631"/>
    <w:rsid w:val="00C5678B"/>
    <w:rsid w:val="00C5694C"/>
    <w:rsid w:val="00C56C7E"/>
    <w:rsid w:val="00C56E3C"/>
    <w:rsid w:val="00C56E71"/>
    <w:rsid w:val="00C56F86"/>
    <w:rsid w:val="00C5730F"/>
    <w:rsid w:val="00C57616"/>
    <w:rsid w:val="00C57814"/>
    <w:rsid w:val="00C578E3"/>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1FE7"/>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220"/>
    <w:rsid w:val="00C6326B"/>
    <w:rsid w:val="00C63560"/>
    <w:rsid w:val="00C63616"/>
    <w:rsid w:val="00C63735"/>
    <w:rsid w:val="00C63755"/>
    <w:rsid w:val="00C637EE"/>
    <w:rsid w:val="00C63815"/>
    <w:rsid w:val="00C63ACB"/>
    <w:rsid w:val="00C63C1A"/>
    <w:rsid w:val="00C63D1F"/>
    <w:rsid w:val="00C63E53"/>
    <w:rsid w:val="00C63F87"/>
    <w:rsid w:val="00C64333"/>
    <w:rsid w:val="00C643D3"/>
    <w:rsid w:val="00C64519"/>
    <w:rsid w:val="00C64805"/>
    <w:rsid w:val="00C64816"/>
    <w:rsid w:val="00C64A13"/>
    <w:rsid w:val="00C64BB6"/>
    <w:rsid w:val="00C64C13"/>
    <w:rsid w:val="00C64C52"/>
    <w:rsid w:val="00C64CA7"/>
    <w:rsid w:val="00C64CF0"/>
    <w:rsid w:val="00C64E1E"/>
    <w:rsid w:val="00C64E8B"/>
    <w:rsid w:val="00C64F01"/>
    <w:rsid w:val="00C65023"/>
    <w:rsid w:val="00C65068"/>
    <w:rsid w:val="00C6522A"/>
    <w:rsid w:val="00C6557D"/>
    <w:rsid w:val="00C655F1"/>
    <w:rsid w:val="00C65853"/>
    <w:rsid w:val="00C65955"/>
    <w:rsid w:val="00C659B0"/>
    <w:rsid w:val="00C659BE"/>
    <w:rsid w:val="00C65E9D"/>
    <w:rsid w:val="00C6601E"/>
    <w:rsid w:val="00C66091"/>
    <w:rsid w:val="00C667B6"/>
    <w:rsid w:val="00C66997"/>
    <w:rsid w:val="00C66A49"/>
    <w:rsid w:val="00C66BFC"/>
    <w:rsid w:val="00C66D06"/>
    <w:rsid w:val="00C66DBF"/>
    <w:rsid w:val="00C66ED9"/>
    <w:rsid w:val="00C66FBD"/>
    <w:rsid w:val="00C670FA"/>
    <w:rsid w:val="00C6715B"/>
    <w:rsid w:val="00C673DC"/>
    <w:rsid w:val="00C67422"/>
    <w:rsid w:val="00C67514"/>
    <w:rsid w:val="00C67677"/>
    <w:rsid w:val="00C677D6"/>
    <w:rsid w:val="00C678B3"/>
    <w:rsid w:val="00C67ACA"/>
    <w:rsid w:val="00C67B8A"/>
    <w:rsid w:val="00C67B92"/>
    <w:rsid w:val="00C67CEB"/>
    <w:rsid w:val="00C67E3B"/>
    <w:rsid w:val="00C67E7A"/>
    <w:rsid w:val="00C67F90"/>
    <w:rsid w:val="00C67FB8"/>
    <w:rsid w:val="00C7007D"/>
    <w:rsid w:val="00C70203"/>
    <w:rsid w:val="00C70215"/>
    <w:rsid w:val="00C7030E"/>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8B"/>
    <w:rsid w:val="00C71FF4"/>
    <w:rsid w:val="00C72067"/>
    <w:rsid w:val="00C7216F"/>
    <w:rsid w:val="00C724D2"/>
    <w:rsid w:val="00C725A9"/>
    <w:rsid w:val="00C725EF"/>
    <w:rsid w:val="00C725F7"/>
    <w:rsid w:val="00C7275B"/>
    <w:rsid w:val="00C72933"/>
    <w:rsid w:val="00C72A08"/>
    <w:rsid w:val="00C72A77"/>
    <w:rsid w:val="00C72A9F"/>
    <w:rsid w:val="00C72B0E"/>
    <w:rsid w:val="00C72BCE"/>
    <w:rsid w:val="00C72CC0"/>
    <w:rsid w:val="00C730F9"/>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5B"/>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71AC"/>
    <w:rsid w:val="00C774D3"/>
    <w:rsid w:val="00C777BC"/>
    <w:rsid w:val="00C778F2"/>
    <w:rsid w:val="00C77AAE"/>
    <w:rsid w:val="00C77C74"/>
    <w:rsid w:val="00C8009A"/>
    <w:rsid w:val="00C8027C"/>
    <w:rsid w:val="00C80379"/>
    <w:rsid w:val="00C8038C"/>
    <w:rsid w:val="00C8065A"/>
    <w:rsid w:val="00C806D8"/>
    <w:rsid w:val="00C806E9"/>
    <w:rsid w:val="00C80941"/>
    <w:rsid w:val="00C809B9"/>
    <w:rsid w:val="00C809D3"/>
    <w:rsid w:val="00C80CFE"/>
    <w:rsid w:val="00C80E1C"/>
    <w:rsid w:val="00C80FFC"/>
    <w:rsid w:val="00C8101D"/>
    <w:rsid w:val="00C8101F"/>
    <w:rsid w:val="00C81234"/>
    <w:rsid w:val="00C812E7"/>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827"/>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270"/>
    <w:rsid w:val="00C87659"/>
    <w:rsid w:val="00C878E9"/>
    <w:rsid w:val="00C87B5F"/>
    <w:rsid w:val="00C87BC3"/>
    <w:rsid w:val="00C87C2F"/>
    <w:rsid w:val="00C87E06"/>
    <w:rsid w:val="00C87EDD"/>
    <w:rsid w:val="00C9013D"/>
    <w:rsid w:val="00C902A4"/>
    <w:rsid w:val="00C903DC"/>
    <w:rsid w:val="00C90771"/>
    <w:rsid w:val="00C90787"/>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270"/>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424"/>
    <w:rsid w:val="00C9257B"/>
    <w:rsid w:val="00C9285F"/>
    <w:rsid w:val="00C92A4C"/>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3F"/>
    <w:rsid w:val="00C96A48"/>
    <w:rsid w:val="00C970BE"/>
    <w:rsid w:val="00C97317"/>
    <w:rsid w:val="00C974FC"/>
    <w:rsid w:val="00C974FD"/>
    <w:rsid w:val="00C978DD"/>
    <w:rsid w:val="00C9796C"/>
    <w:rsid w:val="00C97B29"/>
    <w:rsid w:val="00C97B61"/>
    <w:rsid w:val="00C97E32"/>
    <w:rsid w:val="00C97F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2C"/>
    <w:rsid w:val="00CA1F55"/>
    <w:rsid w:val="00CA21F9"/>
    <w:rsid w:val="00CA2226"/>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613"/>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1BC"/>
    <w:rsid w:val="00CB0273"/>
    <w:rsid w:val="00CB02E4"/>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339"/>
    <w:rsid w:val="00CB244A"/>
    <w:rsid w:val="00CB2586"/>
    <w:rsid w:val="00CB25FC"/>
    <w:rsid w:val="00CB27F8"/>
    <w:rsid w:val="00CB2A16"/>
    <w:rsid w:val="00CB2B6F"/>
    <w:rsid w:val="00CB3010"/>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88B"/>
    <w:rsid w:val="00CB490E"/>
    <w:rsid w:val="00CB4943"/>
    <w:rsid w:val="00CB4AEF"/>
    <w:rsid w:val="00CB4DA5"/>
    <w:rsid w:val="00CB4DE2"/>
    <w:rsid w:val="00CB5359"/>
    <w:rsid w:val="00CB544B"/>
    <w:rsid w:val="00CB56DA"/>
    <w:rsid w:val="00CB5815"/>
    <w:rsid w:val="00CB591C"/>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58D"/>
    <w:rsid w:val="00CC0736"/>
    <w:rsid w:val="00CC0936"/>
    <w:rsid w:val="00CC0960"/>
    <w:rsid w:val="00CC0A65"/>
    <w:rsid w:val="00CC0E38"/>
    <w:rsid w:val="00CC0F6E"/>
    <w:rsid w:val="00CC11BA"/>
    <w:rsid w:val="00CC11C7"/>
    <w:rsid w:val="00CC14BE"/>
    <w:rsid w:val="00CC152B"/>
    <w:rsid w:val="00CC1624"/>
    <w:rsid w:val="00CC18E5"/>
    <w:rsid w:val="00CC1B29"/>
    <w:rsid w:val="00CC1FE5"/>
    <w:rsid w:val="00CC208E"/>
    <w:rsid w:val="00CC21E9"/>
    <w:rsid w:val="00CC2201"/>
    <w:rsid w:val="00CC235F"/>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29"/>
    <w:rsid w:val="00CC4282"/>
    <w:rsid w:val="00CC43E7"/>
    <w:rsid w:val="00CC4563"/>
    <w:rsid w:val="00CC458F"/>
    <w:rsid w:val="00CC469B"/>
    <w:rsid w:val="00CC46F4"/>
    <w:rsid w:val="00CC4890"/>
    <w:rsid w:val="00CC4B66"/>
    <w:rsid w:val="00CC4C08"/>
    <w:rsid w:val="00CC4C21"/>
    <w:rsid w:val="00CC5328"/>
    <w:rsid w:val="00CC546C"/>
    <w:rsid w:val="00CC5B3F"/>
    <w:rsid w:val="00CC5EBF"/>
    <w:rsid w:val="00CC5F87"/>
    <w:rsid w:val="00CC6082"/>
    <w:rsid w:val="00CC6528"/>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72"/>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BCF"/>
    <w:rsid w:val="00CD2DB9"/>
    <w:rsid w:val="00CD2E5B"/>
    <w:rsid w:val="00CD3291"/>
    <w:rsid w:val="00CD3478"/>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4FD5"/>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D8D"/>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0D6"/>
    <w:rsid w:val="00CE2142"/>
    <w:rsid w:val="00CE2202"/>
    <w:rsid w:val="00CE233B"/>
    <w:rsid w:val="00CE2461"/>
    <w:rsid w:val="00CE246B"/>
    <w:rsid w:val="00CE2781"/>
    <w:rsid w:val="00CE27DD"/>
    <w:rsid w:val="00CE2804"/>
    <w:rsid w:val="00CE2B12"/>
    <w:rsid w:val="00CE2EEC"/>
    <w:rsid w:val="00CE30BA"/>
    <w:rsid w:val="00CE3146"/>
    <w:rsid w:val="00CE3233"/>
    <w:rsid w:val="00CE33DA"/>
    <w:rsid w:val="00CE3626"/>
    <w:rsid w:val="00CE37BE"/>
    <w:rsid w:val="00CE3BD5"/>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7B7"/>
    <w:rsid w:val="00CE4B9C"/>
    <w:rsid w:val="00CE4BF7"/>
    <w:rsid w:val="00CE4C1C"/>
    <w:rsid w:val="00CE4CF8"/>
    <w:rsid w:val="00CE4D8F"/>
    <w:rsid w:val="00CE4E80"/>
    <w:rsid w:val="00CE50FC"/>
    <w:rsid w:val="00CE5162"/>
    <w:rsid w:val="00CE51DD"/>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59F"/>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2AC"/>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1ED4"/>
    <w:rsid w:val="00CF2030"/>
    <w:rsid w:val="00CF2143"/>
    <w:rsid w:val="00CF2324"/>
    <w:rsid w:val="00CF23ED"/>
    <w:rsid w:val="00CF27D7"/>
    <w:rsid w:val="00CF2838"/>
    <w:rsid w:val="00CF28C5"/>
    <w:rsid w:val="00CF2A25"/>
    <w:rsid w:val="00CF2CC1"/>
    <w:rsid w:val="00CF2D01"/>
    <w:rsid w:val="00CF2F19"/>
    <w:rsid w:val="00CF3137"/>
    <w:rsid w:val="00CF3220"/>
    <w:rsid w:val="00CF3472"/>
    <w:rsid w:val="00CF3606"/>
    <w:rsid w:val="00CF38D4"/>
    <w:rsid w:val="00CF3A81"/>
    <w:rsid w:val="00CF3B5E"/>
    <w:rsid w:val="00CF3C64"/>
    <w:rsid w:val="00CF3D62"/>
    <w:rsid w:val="00CF3DAB"/>
    <w:rsid w:val="00CF3DB6"/>
    <w:rsid w:val="00CF3F37"/>
    <w:rsid w:val="00CF42CC"/>
    <w:rsid w:val="00CF43FF"/>
    <w:rsid w:val="00CF4485"/>
    <w:rsid w:val="00CF4533"/>
    <w:rsid w:val="00CF45D9"/>
    <w:rsid w:val="00CF4639"/>
    <w:rsid w:val="00CF4656"/>
    <w:rsid w:val="00CF4752"/>
    <w:rsid w:val="00CF47C2"/>
    <w:rsid w:val="00CF48E1"/>
    <w:rsid w:val="00CF4A34"/>
    <w:rsid w:val="00CF4B51"/>
    <w:rsid w:val="00CF4C91"/>
    <w:rsid w:val="00CF4FCD"/>
    <w:rsid w:val="00CF500D"/>
    <w:rsid w:val="00CF5168"/>
    <w:rsid w:val="00CF5461"/>
    <w:rsid w:val="00CF5465"/>
    <w:rsid w:val="00CF547E"/>
    <w:rsid w:val="00CF54C8"/>
    <w:rsid w:val="00CF5587"/>
    <w:rsid w:val="00CF55E9"/>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3E"/>
    <w:rsid w:val="00CF745B"/>
    <w:rsid w:val="00CF74EE"/>
    <w:rsid w:val="00CF75DA"/>
    <w:rsid w:val="00CF7606"/>
    <w:rsid w:val="00CF76A0"/>
    <w:rsid w:val="00CF7811"/>
    <w:rsid w:val="00CF7A76"/>
    <w:rsid w:val="00CF7C54"/>
    <w:rsid w:val="00CF7D49"/>
    <w:rsid w:val="00CF7EE2"/>
    <w:rsid w:val="00CF7F6C"/>
    <w:rsid w:val="00D00060"/>
    <w:rsid w:val="00D000D4"/>
    <w:rsid w:val="00D007DA"/>
    <w:rsid w:val="00D008D0"/>
    <w:rsid w:val="00D00949"/>
    <w:rsid w:val="00D00E5F"/>
    <w:rsid w:val="00D00EC0"/>
    <w:rsid w:val="00D0100B"/>
    <w:rsid w:val="00D01052"/>
    <w:rsid w:val="00D010A1"/>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49"/>
    <w:rsid w:val="00D045B1"/>
    <w:rsid w:val="00D04695"/>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6A"/>
    <w:rsid w:val="00D10EA7"/>
    <w:rsid w:val="00D1104B"/>
    <w:rsid w:val="00D110BC"/>
    <w:rsid w:val="00D11113"/>
    <w:rsid w:val="00D111F1"/>
    <w:rsid w:val="00D11790"/>
    <w:rsid w:val="00D11D24"/>
    <w:rsid w:val="00D11E4A"/>
    <w:rsid w:val="00D120DB"/>
    <w:rsid w:val="00D12148"/>
    <w:rsid w:val="00D12206"/>
    <w:rsid w:val="00D124C6"/>
    <w:rsid w:val="00D12684"/>
    <w:rsid w:val="00D126F4"/>
    <w:rsid w:val="00D127D0"/>
    <w:rsid w:val="00D12935"/>
    <w:rsid w:val="00D12AFC"/>
    <w:rsid w:val="00D12CE3"/>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251"/>
    <w:rsid w:val="00D1449B"/>
    <w:rsid w:val="00D144E6"/>
    <w:rsid w:val="00D1461C"/>
    <w:rsid w:val="00D147BF"/>
    <w:rsid w:val="00D148C0"/>
    <w:rsid w:val="00D14A5A"/>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103"/>
    <w:rsid w:val="00D22210"/>
    <w:rsid w:val="00D223F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46"/>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EBB"/>
    <w:rsid w:val="00D27FDA"/>
    <w:rsid w:val="00D302BA"/>
    <w:rsid w:val="00D304C0"/>
    <w:rsid w:val="00D3068C"/>
    <w:rsid w:val="00D30816"/>
    <w:rsid w:val="00D30863"/>
    <w:rsid w:val="00D30D34"/>
    <w:rsid w:val="00D30D55"/>
    <w:rsid w:val="00D30E4D"/>
    <w:rsid w:val="00D30FC9"/>
    <w:rsid w:val="00D31200"/>
    <w:rsid w:val="00D314A0"/>
    <w:rsid w:val="00D3161C"/>
    <w:rsid w:val="00D316E1"/>
    <w:rsid w:val="00D317C2"/>
    <w:rsid w:val="00D31A1F"/>
    <w:rsid w:val="00D31AFE"/>
    <w:rsid w:val="00D31BBF"/>
    <w:rsid w:val="00D31D9F"/>
    <w:rsid w:val="00D32033"/>
    <w:rsid w:val="00D32082"/>
    <w:rsid w:val="00D322C4"/>
    <w:rsid w:val="00D322F4"/>
    <w:rsid w:val="00D32492"/>
    <w:rsid w:val="00D324B3"/>
    <w:rsid w:val="00D3262A"/>
    <w:rsid w:val="00D3267C"/>
    <w:rsid w:val="00D326D7"/>
    <w:rsid w:val="00D329C4"/>
    <w:rsid w:val="00D32B0C"/>
    <w:rsid w:val="00D32D02"/>
    <w:rsid w:val="00D32D0F"/>
    <w:rsid w:val="00D32DDB"/>
    <w:rsid w:val="00D32F24"/>
    <w:rsid w:val="00D32FB8"/>
    <w:rsid w:val="00D32FD3"/>
    <w:rsid w:val="00D3316E"/>
    <w:rsid w:val="00D335EE"/>
    <w:rsid w:val="00D3371B"/>
    <w:rsid w:val="00D33840"/>
    <w:rsid w:val="00D338BF"/>
    <w:rsid w:val="00D339B5"/>
    <w:rsid w:val="00D33ED6"/>
    <w:rsid w:val="00D33F28"/>
    <w:rsid w:val="00D33F46"/>
    <w:rsid w:val="00D3424A"/>
    <w:rsid w:val="00D343F6"/>
    <w:rsid w:val="00D34429"/>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021"/>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3AB"/>
    <w:rsid w:val="00D42435"/>
    <w:rsid w:val="00D4272A"/>
    <w:rsid w:val="00D428DA"/>
    <w:rsid w:val="00D42958"/>
    <w:rsid w:val="00D42974"/>
    <w:rsid w:val="00D42DA9"/>
    <w:rsid w:val="00D42E93"/>
    <w:rsid w:val="00D42F94"/>
    <w:rsid w:val="00D433E2"/>
    <w:rsid w:val="00D433F6"/>
    <w:rsid w:val="00D433F9"/>
    <w:rsid w:val="00D4342D"/>
    <w:rsid w:val="00D43644"/>
    <w:rsid w:val="00D43713"/>
    <w:rsid w:val="00D43721"/>
    <w:rsid w:val="00D43893"/>
    <w:rsid w:val="00D439A4"/>
    <w:rsid w:val="00D43C8C"/>
    <w:rsid w:val="00D43C97"/>
    <w:rsid w:val="00D43D08"/>
    <w:rsid w:val="00D43DB4"/>
    <w:rsid w:val="00D43EC7"/>
    <w:rsid w:val="00D4413E"/>
    <w:rsid w:val="00D4419E"/>
    <w:rsid w:val="00D441C5"/>
    <w:rsid w:val="00D4427C"/>
    <w:rsid w:val="00D44315"/>
    <w:rsid w:val="00D44786"/>
    <w:rsid w:val="00D44952"/>
    <w:rsid w:val="00D45091"/>
    <w:rsid w:val="00D45294"/>
    <w:rsid w:val="00D452D7"/>
    <w:rsid w:val="00D45353"/>
    <w:rsid w:val="00D4538A"/>
    <w:rsid w:val="00D4565C"/>
    <w:rsid w:val="00D456AA"/>
    <w:rsid w:val="00D45703"/>
    <w:rsid w:val="00D458DF"/>
    <w:rsid w:val="00D45927"/>
    <w:rsid w:val="00D45A32"/>
    <w:rsid w:val="00D45D22"/>
    <w:rsid w:val="00D45D47"/>
    <w:rsid w:val="00D45E59"/>
    <w:rsid w:val="00D45FC9"/>
    <w:rsid w:val="00D4620A"/>
    <w:rsid w:val="00D46283"/>
    <w:rsid w:val="00D4644F"/>
    <w:rsid w:val="00D465BB"/>
    <w:rsid w:val="00D465BF"/>
    <w:rsid w:val="00D46701"/>
    <w:rsid w:val="00D46932"/>
    <w:rsid w:val="00D46BB3"/>
    <w:rsid w:val="00D46C15"/>
    <w:rsid w:val="00D46D67"/>
    <w:rsid w:val="00D46F90"/>
    <w:rsid w:val="00D46FC8"/>
    <w:rsid w:val="00D4712B"/>
    <w:rsid w:val="00D47142"/>
    <w:rsid w:val="00D477F5"/>
    <w:rsid w:val="00D47829"/>
    <w:rsid w:val="00D478F4"/>
    <w:rsid w:val="00D47938"/>
    <w:rsid w:val="00D47AF9"/>
    <w:rsid w:val="00D47B5E"/>
    <w:rsid w:val="00D47C4A"/>
    <w:rsid w:val="00D47E2E"/>
    <w:rsid w:val="00D47FCF"/>
    <w:rsid w:val="00D500FB"/>
    <w:rsid w:val="00D5010A"/>
    <w:rsid w:val="00D504D2"/>
    <w:rsid w:val="00D50691"/>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1C3"/>
    <w:rsid w:val="00D543F9"/>
    <w:rsid w:val="00D5444A"/>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39"/>
    <w:rsid w:val="00D55C74"/>
    <w:rsid w:val="00D55F18"/>
    <w:rsid w:val="00D55F38"/>
    <w:rsid w:val="00D56017"/>
    <w:rsid w:val="00D562AD"/>
    <w:rsid w:val="00D562DE"/>
    <w:rsid w:val="00D56419"/>
    <w:rsid w:val="00D56827"/>
    <w:rsid w:val="00D56A6C"/>
    <w:rsid w:val="00D56AE1"/>
    <w:rsid w:val="00D56BC8"/>
    <w:rsid w:val="00D56D69"/>
    <w:rsid w:val="00D56E7B"/>
    <w:rsid w:val="00D56E9C"/>
    <w:rsid w:val="00D56FC8"/>
    <w:rsid w:val="00D572D9"/>
    <w:rsid w:val="00D5731B"/>
    <w:rsid w:val="00D5738C"/>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77"/>
    <w:rsid w:val="00D6219F"/>
    <w:rsid w:val="00D621B5"/>
    <w:rsid w:val="00D6225F"/>
    <w:rsid w:val="00D623CB"/>
    <w:rsid w:val="00D624EF"/>
    <w:rsid w:val="00D6260E"/>
    <w:rsid w:val="00D626D4"/>
    <w:rsid w:val="00D62738"/>
    <w:rsid w:val="00D62BB1"/>
    <w:rsid w:val="00D62BBD"/>
    <w:rsid w:val="00D62CA5"/>
    <w:rsid w:val="00D62DEC"/>
    <w:rsid w:val="00D62F75"/>
    <w:rsid w:val="00D63081"/>
    <w:rsid w:val="00D6313C"/>
    <w:rsid w:val="00D63317"/>
    <w:rsid w:val="00D6360C"/>
    <w:rsid w:val="00D63626"/>
    <w:rsid w:val="00D6363B"/>
    <w:rsid w:val="00D63673"/>
    <w:rsid w:val="00D636CA"/>
    <w:rsid w:val="00D6393F"/>
    <w:rsid w:val="00D639E0"/>
    <w:rsid w:val="00D63AAD"/>
    <w:rsid w:val="00D63B46"/>
    <w:rsid w:val="00D643AB"/>
    <w:rsid w:val="00D64433"/>
    <w:rsid w:val="00D6458B"/>
    <w:rsid w:val="00D646FD"/>
    <w:rsid w:val="00D64714"/>
    <w:rsid w:val="00D64BBE"/>
    <w:rsid w:val="00D64D7E"/>
    <w:rsid w:val="00D64EA9"/>
    <w:rsid w:val="00D64F98"/>
    <w:rsid w:val="00D650AB"/>
    <w:rsid w:val="00D65176"/>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3CF"/>
    <w:rsid w:val="00D67527"/>
    <w:rsid w:val="00D67AA6"/>
    <w:rsid w:val="00D67DE5"/>
    <w:rsid w:val="00D67E08"/>
    <w:rsid w:val="00D7030A"/>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0C0"/>
    <w:rsid w:val="00D73339"/>
    <w:rsid w:val="00D733F5"/>
    <w:rsid w:val="00D735AF"/>
    <w:rsid w:val="00D735BA"/>
    <w:rsid w:val="00D73687"/>
    <w:rsid w:val="00D737C5"/>
    <w:rsid w:val="00D73A21"/>
    <w:rsid w:val="00D73B1E"/>
    <w:rsid w:val="00D73D04"/>
    <w:rsid w:val="00D74185"/>
    <w:rsid w:val="00D74369"/>
    <w:rsid w:val="00D74571"/>
    <w:rsid w:val="00D74705"/>
    <w:rsid w:val="00D74708"/>
    <w:rsid w:val="00D74832"/>
    <w:rsid w:val="00D74A7D"/>
    <w:rsid w:val="00D74B6B"/>
    <w:rsid w:val="00D74E53"/>
    <w:rsid w:val="00D75195"/>
    <w:rsid w:val="00D754B7"/>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B8"/>
    <w:rsid w:val="00D802DE"/>
    <w:rsid w:val="00D802E6"/>
    <w:rsid w:val="00D8032B"/>
    <w:rsid w:val="00D80A79"/>
    <w:rsid w:val="00D80BB1"/>
    <w:rsid w:val="00D80C65"/>
    <w:rsid w:val="00D80EBC"/>
    <w:rsid w:val="00D80F44"/>
    <w:rsid w:val="00D80FEE"/>
    <w:rsid w:val="00D81053"/>
    <w:rsid w:val="00D81446"/>
    <w:rsid w:val="00D81593"/>
    <w:rsid w:val="00D815BC"/>
    <w:rsid w:val="00D81619"/>
    <w:rsid w:val="00D81758"/>
    <w:rsid w:val="00D8179E"/>
    <w:rsid w:val="00D81868"/>
    <w:rsid w:val="00D818C6"/>
    <w:rsid w:val="00D81A0E"/>
    <w:rsid w:val="00D81BE8"/>
    <w:rsid w:val="00D81D5C"/>
    <w:rsid w:val="00D81FAE"/>
    <w:rsid w:val="00D81FCC"/>
    <w:rsid w:val="00D82266"/>
    <w:rsid w:val="00D822B1"/>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7FB"/>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2FA8"/>
    <w:rsid w:val="00D9308F"/>
    <w:rsid w:val="00D93150"/>
    <w:rsid w:val="00D9360D"/>
    <w:rsid w:val="00D9363C"/>
    <w:rsid w:val="00D93946"/>
    <w:rsid w:val="00D939B4"/>
    <w:rsid w:val="00D939CC"/>
    <w:rsid w:val="00D93A51"/>
    <w:rsid w:val="00D93C45"/>
    <w:rsid w:val="00D93D19"/>
    <w:rsid w:val="00D93E18"/>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7D1"/>
    <w:rsid w:val="00D9697C"/>
    <w:rsid w:val="00D96BD2"/>
    <w:rsid w:val="00D96D13"/>
    <w:rsid w:val="00D96D4E"/>
    <w:rsid w:val="00D96F43"/>
    <w:rsid w:val="00D96FF2"/>
    <w:rsid w:val="00D970FF"/>
    <w:rsid w:val="00D97210"/>
    <w:rsid w:val="00D97429"/>
    <w:rsid w:val="00D97A17"/>
    <w:rsid w:val="00D97D48"/>
    <w:rsid w:val="00D97D8B"/>
    <w:rsid w:val="00D97E09"/>
    <w:rsid w:val="00D97E6C"/>
    <w:rsid w:val="00D97F69"/>
    <w:rsid w:val="00DA0296"/>
    <w:rsid w:val="00DA050B"/>
    <w:rsid w:val="00DA0712"/>
    <w:rsid w:val="00DA0814"/>
    <w:rsid w:val="00DA08FA"/>
    <w:rsid w:val="00DA0911"/>
    <w:rsid w:val="00DA0C2F"/>
    <w:rsid w:val="00DA0C62"/>
    <w:rsid w:val="00DA0C63"/>
    <w:rsid w:val="00DA0E1D"/>
    <w:rsid w:val="00DA11D3"/>
    <w:rsid w:val="00DA1219"/>
    <w:rsid w:val="00DA128C"/>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095"/>
    <w:rsid w:val="00DA323F"/>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951"/>
    <w:rsid w:val="00DA4B5A"/>
    <w:rsid w:val="00DA5147"/>
    <w:rsid w:val="00DA51BD"/>
    <w:rsid w:val="00DA523C"/>
    <w:rsid w:val="00DA5361"/>
    <w:rsid w:val="00DA56EE"/>
    <w:rsid w:val="00DA5752"/>
    <w:rsid w:val="00DA5800"/>
    <w:rsid w:val="00DA5867"/>
    <w:rsid w:val="00DA5A2E"/>
    <w:rsid w:val="00DA5A8D"/>
    <w:rsid w:val="00DA5B82"/>
    <w:rsid w:val="00DA5F72"/>
    <w:rsid w:val="00DA6442"/>
    <w:rsid w:val="00DA6613"/>
    <w:rsid w:val="00DA67D9"/>
    <w:rsid w:val="00DA68CA"/>
    <w:rsid w:val="00DA6990"/>
    <w:rsid w:val="00DA6D4D"/>
    <w:rsid w:val="00DA6DA1"/>
    <w:rsid w:val="00DA6E18"/>
    <w:rsid w:val="00DA6E41"/>
    <w:rsid w:val="00DA700C"/>
    <w:rsid w:val="00DA7113"/>
    <w:rsid w:val="00DA7367"/>
    <w:rsid w:val="00DA7623"/>
    <w:rsid w:val="00DA7730"/>
    <w:rsid w:val="00DA7942"/>
    <w:rsid w:val="00DA7A36"/>
    <w:rsid w:val="00DA7B9F"/>
    <w:rsid w:val="00DA7DC2"/>
    <w:rsid w:val="00DA7FBB"/>
    <w:rsid w:val="00DB0201"/>
    <w:rsid w:val="00DB0254"/>
    <w:rsid w:val="00DB0336"/>
    <w:rsid w:val="00DB05C2"/>
    <w:rsid w:val="00DB0611"/>
    <w:rsid w:val="00DB0674"/>
    <w:rsid w:val="00DB06F3"/>
    <w:rsid w:val="00DB0725"/>
    <w:rsid w:val="00DB079C"/>
    <w:rsid w:val="00DB08B6"/>
    <w:rsid w:val="00DB09A7"/>
    <w:rsid w:val="00DB0A99"/>
    <w:rsid w:val="00DB0BCA"/>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3B"/>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CBD"/>
    <w:rsid w:val="00DB3E48"/>
    <w:rsid w:val="00DB3F89"/>
    <w:rsid w:val="00DB4095"/>
    <w:rsid w:val="00DB41E5"/>
    <w:rsid w:val="00DB472B"/>
    <w:rsid w:val="00DB4E41"/>
    <w:rsid w:val="00DB513F"/>
    <w:rsid w:val="00DB518D"/>
    <w:rsid w:val="00DB5265"/>
    <w:rsid w:val="00DB5388"/>
    <w:rsid w:val="00DB5391"/>
    <w:rsid w:val="00DB54F3"/>
    <w:rsid w:val="00DB5501"/>
    <w:rsid w:val="00DB5843"/>
    <w:rsid w:val="00DB586B"/>
    <w:rsid w:val="00DB5872"/>
    <w:rsid w:val="00DB592A"/>
    <w:rsid w:val="00DB596D"/>
    <w:rsid w:val="00DB5997"/>
    <w:rsid w:val="00DB5AA9"/>
    <w:rsid w:val="00DB5BC4"/>
    <w:rsid w:val="00DB5CF5"/>
    <w:rsid w:val="00DB5D5A"/>
    <w:rsid w:val="00DB5EA4"/>
    <w:rsid w:val="00DB5FA6"/>
    <w:rsid w:val="00DB6056"/>
    <w:rsid w:val="00DB6081"/>
    <w:rsid w:val="00DB62F4"/>
    <w:rsid w:val="00DB6622"/>
    <w:rsid w:val="00DB6671"/>
    <w:rsid w:val="00DB6726"/>
    <w:rsid w:val="00DB680C"/>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BB"/>
    <w:rsid w:val="00DC46EC"/>
    <w:rsid w:val="00DC47E3"/>
    <w:rsid w:val="00DC4936"/>
    <w:rsid w:val="00DC4ADC"/>
    <w:rsid w:val="00DC4B55"/>
    <w:rsid w:val="00DC4C98"/>
    <w:rsid w:val="00DC4D9E"/>
    <w:rsid w:val="00DC4DFE"/>
    <w:rsid w:val="00DC4EB3"/>
    <w:rsid w:val="00DC550F"/>
    <w:rsid w:val="00DC5603"/>
    <w:rsid w:val="00DC56BB"/>
    <w:rsid w:val="00DC56E7"/>
    <w:rsid w:val="00DC57BD"/>
    <w:rsid w:val="00DC59BF"/>
    <w:rsid w:val="00DC5BE1"/>
    <w:rsid w:val="00DC5C6C"/>
    <w:rsid w:val="00DC5E3D"/>
    <w:rsid w:val="00DC601F"/>
    <w:rsid w:val="00DC62BF"/>
    <w:rsid w:val="00DC6536"/>
    <w:rsid w:val="00DC6577"/>
    <w:rsid w:val="00DC67AC"/>
    <w:rsid w:val="00DC6922"/>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84"/>
    <w:rsid w:val="00DD07F4"/>
    <w:rsid w:val="00DD097B"/>
    <w:rsid w:val="00DD0B00"/>
    <w:rsid w:val="00DD0C7C"/>
    <w:rsid w:val="00DD0ED4"/>
    <w:rsid w:val="00DD0F84"/>
    <w:rsid w:val="00DD0FA6"/>
    <w:rsid w:val="00DD136E"/>
    <w:rsid w:val="00DD16F0"/>
    <w:rsid w:val="00DD1781"/>
    <w:rsid w:val="00DD1A12"/>
    <w:rsid w:val="00DD1A6D"/>
    <w:rsid w:val="00DD1EC8"/>
    <w:rsid w:val="00DD1ED2"/>
    <w:rsid w:val="00DD211E"/>
    <w:rsid w:val="00DD214E"/>
    <w:rsid w:val="00DD21EF"/>
    <w:rsid w:val="00DD2257"/>
    <w:rsid w:val="00DD2312"/>
    <w:rsid w:val="00DD23C1"/>
    <w:rsid w:val="00DD246C"/>
    <w:rsid w:val="00DD24E2"/>
    <w:rsid w:val="00DD2A10"/>
    <w:rsid w:val="00DD2BE6"/>
    <w:rsid w:val="00DD2CA3"/>
    <w:rsid w:val="00DD2D39"/>
    <w:rsid w:val="00DD2E5A"/>
    <w:rsid w:val="00DD341D"/>
    <w:rsid w:val="00DD3479"/>
    <w:rsid w:val="00DD350D"/>
    <w:rsid w:val="00DD360F"/>
    <w:rsid w:val="00DD3894"/>
    <w:rsid w:val="00DD3B19"/>
    <w:rsid w:val="00DD3BB1"/>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987"/>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2F6"/>
    <w:rsid w:val="00DD735C"/>
    <w:rsid w:val="00DD746C"/>
    <w:rsid w:val="00DD79D0"/>
    <w:rsid w:val="00DD7B72"/>
    <w:rsid w:val="00DD7DCD"/>
    <w:rsid w:val="00DE0057"/>
    <w:rsid w:val="00DE00CE"/>
    <w:rsid w:val="00DE020A"/>
    <w:rsid w:val="00DE0644"/>
    <w:rsid w:val="00DE086D"/>
    <w:rsid w:val="00DE0972"/>
    <w:rsid w:val="00DE0C4D"/>
    <w:rsid w:val="00DE1050"/>
    <w:rsid w:val="00DE10EE"/>
    <w:rsid w:val="00DE1141"/>
    <w:rsid w:val="00DE1309"/>
    <w:rsid w:val="00DE134A"/>
    <w:rsid w:val="00DE141F"/>
    <w:rsid w:val="00DE151B"/>
    <w:rsid w:val="00DE19AE"/>
    <w:rsid w:val="00DE1B86"/>
    <w:rsid w:val="00DE1BFF"/>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97"/>
    <w:rsid w:val="00DE36ED"/>
    <w:rsid w:val="00DE3801"/>
    <w:rsid w:val="00DE3824"/>
    <w:rsid w:val="00DE3D1D"/>
    <w:rsid w:val="00DE3FB2"/>
    <w:rsid w:val="00DE4090"/>
    <w:rsid w:val="00DE41CD"/>
    <w:rsid w:val="00DE4211"/>
    <w:rsid w:val="00DE43C4"/>
    <w:rsid w:val="00DE45ED"/>
    <w:rsid w:val="00DE4622"/>
    <w:rsid w:val="00DE46FB"/>
    <w:rsid w:val="00DE47C2"/>
    <w:rsid w:val="00DE4841"/>
    <w:rsid w:val="00DE48B6"/>
    <w:rsid w:val="00DE4929"/>
    <w:rsid w:val="00DE4A17"/>
    <w:rsid w:val="00DE4A80"/>
    <w:rsid w:val="00DE4B17"/>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DE6"/>
    <w:rsid w:val="00DE5F61"/>
    <w:rsid w:val="00DE602D"/>
    <w:rsid w:val="00DE60A2"/>
    <w:rsid w:val="00DE6266"/>
    <w:rsid w:val="00DE67AF"/>
    <w:rsid w:val="00DE6830"/>
    <w:rsid w:val="00DE68FB"/>
    <w:rsid w:val="00DE694C"/>
    <w:rsid w:val="00DE6C62"/>
    <w:rsid w:val="00DE6CAA"/>
    <w:rsid w:val="00DE6E67"/>
    <w:rsid w:val="00DE7110"/>
    <w:rsid w:val="00DE711A"/>
    <w:rsid w:val="00DE7154"/>
    <w:rsid w:val="00DE73F5"/>
    <w:rsid w:val="00DE754C"/>
    <w:rsid w:val="00DE75C1"/>
    <w:rsid w:val="00DE7727"/>
    <w:rsid w:val="00DE775F"/>
    <w:rsid w:val="00DE77E5"/>
    <w:rsid w:val="00DE7801"/>
    <w:rsid w:val="00DE7885"/>
    <w:rsid w:val="00DE78BE"/>
    <w:rsid w:val="00DE7C18"/>
    <w:rsid w:val="00DE7C67"/>
    <w:rsid w:val="00DE7C6F"/>
    <w:rsid w:val="00DE7CC9"/>
    <w:rsid w:val="00DE7D8F"/>
    <w:rsid w:val="00DE7E6A"/>
    <w:rsid w:val="00DF00AB"/>
    <w:rsid w:val="00DF02FD"/>
    <w:rsid w:val="00DF0375"/>
    <w:rsid w:val="00DF041D"/>
    <w:rsid w:val="00DF06D6"/>
    <w:rsid w:val="00DF094A"/>
    <w:rsid w:val="00DF0D1E"/>
    <w:rsid w:val="00DF0D49"/>
    <w:rsid w:val="00DF0EC3"/>
    <w:rsid w:val="00DF0F33"/>
    <w:rsid w:val="00DF1265"/>
    <w:rsid w:val="00DF12E2"/>
    <w:rsid w:val="00DF130D"/>
    <w:rsid w:val="00DF1383"/>
    <w:rsid w:val="00DF13B3"/>
    <w:rsid w:val="00DF1713"/>
    <w:rsid w:val="00DF17A3"/>
    <w:rsid w:val="00DF186C"/>
    <w:rsid w:val="00DF19B7"/>
    <w:rsid w:val="00DF1A2C"/>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5DF"/>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3C4"/>
    <w:rsid w:val="00DF6A4C"/>
    <w:rsid w:val="00DF6B26"/>
    <w:rsid w:val="00DF6CC0"/>
    <w:rsid w:val="00DF6EC1"/>
    <w:rsid w:val="00DF6EDA"/>
    <w:rsid w:val="00DF740C"/>
    <w:rsid w:val="00DF746A"/>
    <w:rsid w:val="00DF7568"/>
    <w:rsid w:val="00DF7573"/>
    <w:rsid w:val="00DF7607"/>
    <w:rsid w:val="00DF770A"/>
    <w:rsid w:val="00DF7AF3"/>
    <w:rsid w:val="00DF7B90"/>
    <w:rsid w:val="00DF7C01"/>
    <w:rsid w:val="00DF7CB4"/>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6AB"/>
    <w:rsid w:val="00E026C7"/>
    <w:rsid w:val="00E028E1"/>
    <w:rsid w:val="00E028EE"/>
    <w:rsid w:val="00E02974"/>
    <w:rsid w:val="00E029AB"/>
    <w:rsid w:val="00E02B0A"/>
    <w:rsid w:val="00E02C80"/>
    <w:rsid w:val="00E02CB1"/>
    <w:rsid w:val="00E02D74"/>
    <w:rsid w:val="00E0326F"/>
    <w:rsid w:val="00E03320"/>
    <w:rsid w:val="00E0343E"/>
    <w:rsid w:val="00E03530"/>
    <w:rsid w:val="00E03710"/>
    <w:rsid w:val="00E0384D"/>
    <w:rsid w:val="00E03920"/>
    <w:rsid w:val="00E03970"/>
    <w:rsid w:val="00E03A59"/>
    <w:rsid w:val="00E03A6C"/>
    <w:rsid w:val="00E03AF2"/>
    <w:rsid w:val="00E03B50"/>
    <w:rsid w:val="00E03EB1"/>
    <w:rsid w:val="00E03F77"/>
    <w:rsid w:val="00E040D0"/>
    <w:rsid w:val="00E0413D"/>
    <w:rsid w:val="00E041E9"/>
    <w:rsid w:val="00E04210"/>
    <w:rsid w:val="00E044ED"/>
    <w:rsid w:val="00E04723"/>
    <w:rsid w:val="00E047AB"/>
    <w:rsid w:val="00E04977"/>
    <w:rsid w:val="00E04A0C"/>
    <w:rsid w:val="00E04AD1"/>
    <w:rsid w:val="00E04B64"/>
    <w:rsid w:val="00E04E04"/>
    <w:rsid w:val="00E04F51"/>
    <w:rsid w:val="00E05023"/>
    <w:rsid w:val="00E051EE"/>
    <w:rsid w:val="00E05261"/>
    <w:rsid w:val="00E056FD"/>
    <w:rsid w:val="00E05716"/>
    <w:rsid w:val="00E058FB"/>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26C"/>
    <w:rsid w:val="00E07340"/>
    <w:rsid w:val="00E0779D"/>
    <w:rsid w:val="00E07BA2"/>
    <w:rsid w:val="00E07CE8"/>
    <w:rsid w:val="00E07D91"/>
    <w:rsid w:val="00E10018"/>
    <w:rsid w:val="00E101A7"/>
    <w:rsid w:val="00E10260"/>
    <w:rsid w:val="00E1044E"/>
    <w:rsid w:val="00E10775"/>
    <w:rsid w:val="00E10789"/>
    <w:rsid w:val="00E109D4"/>
    <w:rsid w:val="00E10AB8"/>
    <w:rsid w:val="00E10C4A"/>
    <w:rsid w:val="00E10D82"/>
    <w:rsid w:val="00E10E47"/>
    <w:rsid w:val="00E10E74"/>
    <w:rsid w:val="00E10F2B"/>
    <w:rsid w:val="00E10F6B"/>
    <w:rsid w:val="00E10FB5"/>
    <w:rsid w:val="00E10FD6"/>
    <w:rsid w:val="00E110EF"/>
    <w:rsid w:val="00E112AE"/>
    <w:rsid w:val="00E11425"/>
    <w:rsid w:val="00E114A2"/>
    <w:rsid w:val="00E11568"/>
    <w:rsid w:val="00E1181D"/>
    <w:rsid w:val="00E118D7"/>
    <w:rsid w:val="00E119DC"/>
    <w:rsid w:val="00E11F6E"/>
    <w:rsid w:val="00E11FC2"/>
    <w:rsid w:val="00E1206A"/>
    <w:rsid w:val="00E1208B"/>
    <w:rsid w:val="00E12172"/>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752"/>
    <w:rsid w:val="00E15813"/>
    <w:rsid w:val="00E1589C"/>
    <w:rsid w:val="00E15952"/>
    <w:rsid w:val="00E1598C"/>
    <w:rsid w:val="00E159B2"/>
    <w:rsid w:val="00E15ABF"/>
    <w:rsid w:val="00E15B64"/>
    <w:rsid w:val="00E15C46"/>
    <w:rsid w:val="00E15CC3"/>
    <w:rsid w:val="00E15CDB"/>
    <w:rsid w:val="00E16000"/>
    <w:rsid w:val="00E1634A"/>
    <w:rsid w:val="00E16481"/>
    <w:rsid w:val="00E16516"/>
    <w:rsid w:val="00E16792"/>
    <w:rsid w:val="00E16A59"/>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4EE"/>
    <w:rsid w:val="00E2050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69E"/>
    <w:rsid w:val="00E246F4"/>
    <w:rsid w:val="00E24874"/>
    <w:rsid w:val="00E24B99"/>
    <w:rsid w:val="00E24BF6"/>
    <w:rsid w:val="00E24DBB"/>
    <w:rsid w:val="00E24DF6"/>
    <w:rsid w:val="00E25793"/>
    <w:rsid w:val="00E2584C"/>
    <w:rsid w:val="00E25A5F"/>
    <w:rsid w:val="00E25D45"/>
    <w:rsid w:val="00E25EB5"/>
    <w:rsid w:val="00E25EDF"/>
    <w:rsid w:val="00E25FB9"/>
    <w:rsid w:val="00E2611F"/>
    <w:rsid w:val="00E264AB"/>
    <w:rsid w:val="00E2656C"/>
    <w:rsid w:val="00E265C9"/>
    <w:rsid w:val="00E265FF"/>
    <w:rsid w:val="00E26657"/>
    <w:rsid w:val="00E267FB"/>
    <w:rsid w:val="00E26AB2"/>
    <w:rsid w:val="00E26ECE"/>
    <w:rsid w:val="00E2710C"/>
    <w:rsid w:val="00E271DA"/>
    <w:rsid w:val="00E2725F"/>
    <w:rsid w:val="00E272F0"/>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B1C"/>
    <w:rsid w:val="00E30B3D"/>
    <w:rsid w:val="00E30CD1"/>
    <w:rsid w:val="00E30D80"/>
    <w:rsid w:val="00E30DBD"/>
    <w:rsid w:val="00E30DFA"/>
    <w:rsid w:val="00E30F82"/>
    <w:rsid w:val="00E30FB1"/>
    <w:rsid w:val="00E31065"/>
    <w:rsid w:val="00E3131F"/>
    <w:rsid w:val="00E318C9"/>
    <w:rsid w:val="00E31903"/>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46D"/>
    <w:rsid w:val="00E33533"/>
    <w:rsid w:val="00E33B56"/>
    <w:rsid w:val="00E33C58"/>
    <w:rsid w:val="00E33D3B"/>
    <w:rsid w:val="00E33EE7"/>
    <w:rsid w:val="00E33F00"/>
    <w:rsid w:val="00E3409B"/>
    <w:rsid w:val="00E34388"/>
    <w:rsid w:val="00E34407"/>
    <w:rsid w:val="00E3467F"/>
    <w:rsid w:val="00E348F3"/>
    <w:rsid w:val="00E34957"/>
    <w:rsid w:val="00E34F02"/>
    <w:rsid w:val="00E355A4"/>
    <w:rsid w:val="00E355AE"/>
    <w:rsid w:val="00E357F5"/>
    <w:rsid w:val="00E35A0C"/>
    <w:rsid w:val="00E35C5A"/>
    <w:rsid w:val="00E36126"/>
    <w:rsid w:val="00E36173"/>
    <w:rsid w:val="00E361E4"/>
    <w:rsid w:val="00E36230"/>
    <w:rsid w:val="00E363FD"/>
    <w:rsid w:val="00E3640D"/>
    <w:rsid w:val="00E36760"/>
    <w:rsid w:val="00E368AF"/>
    <w:rsid w:val="00E36B93"/>
    <w:rsid w:val="00E36BB0"/>
    <w:rsid w:val="00E36BBC"/>
    <w:rsid w:val="00E36C2E"/>
    <w:rsid w:val="00E36F0D"/>
    <w:rsid w:val="00E36F12"/>
    <w:rsid w:val="00E37084"/>
    <w:rsid w:val="00E37099"/>
    <w:rsid w:val="00E37113"/>
    <w:rsid w:val="00E37269"/>
    <w:rsid w:val="00E374C3"/>
    <w:rsid w:val="00E375C2"/>
    <w:rsid w:val="00E37633"/>
    <w:rsid w:val="00E37D4B"/>
    <w:rsid w:val="00E37D71"/>
    <w:rsid w:val="00E37E06"/>
    <w:rsid w:val="00E37E67"/>
    <w:rsid w:val="00E37ECA"/>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3"/>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A51"/>
    <w:rsid w:val="00E45B70"/>
    <w:rsid w:val="00E45BB2"/>
    <w:rsid w:val="00E45D61"/>
    <w:rsid w:val="00E4601D"/>
    <w:rsid w:val="00E461C8"/>
    <w:rsid w:val="00E4623F"/>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B87"/>
    <w:rsid w:val="00E50E14"/>
    <w:rsid w:val="00E50F9F"/>
    <w:rsid w:val="00E50FCE"/>
    <w:rsid w:val="00E50FF1"/>
    <w:rsid w:val="00E511DC"/>
    <w:rsid w:val="00E51340"/>
    <w:rsid w:val="00E513E4"/>
    <w:rsid w:val="00E514BB"/>
    <w:rsid w:val="00E517AB"/>
    <w:rsid w:val="00E51D52"/>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813"/>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A76"/>
    <w:rsid w:val="00E55ACF"/>
    <w:rsid w:val="00E55DC1"/>
    <w:rsid w:val="00E55E51"/>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18"/>
    <w:rsid w:val="00E57D3A"/>
    <w:rsid w:val="00E601B7"/>
    <w:rsid w:val="00E602BE"/>
    <w:rsid w:val="00E60318"/>
    <w:rsid w:val="00E60432"/>
    <w:rsid w:val="00E60499"/>
    <w:rsid w:val="00E60632"/>
    <w:rsid w:val="00E60867"/>
    <w:rsid w:val="00E608BF"/>
    <w:rsid w:val="00E60C89"/>
    <w:rsid w:val="00E60D9D"/>
    <w:rsid w:val="00E611DE"/>
    <w:rsid w:val="00E613FB"/>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93C"/>
    <w:rsid w:val="00E64B24"/>
    <w:rsid w:val="00E64C66"/>
    <w:rsid w:val="00E652EC"/>
    <w:rsid w:val="00E6541C"/>
    <w:rsid w:val="00E655E7"/>
    <w:rsid w:val="00E655FF"/>
    <w:rsid w:val="00E65A5E"/>
    <w:rsid w:val="00E65C35"/>
    <w:rsid w:val="00E65C6F"/>
    <w:rsid w:val="00E65CF1"/>
    <w:rsid w:val="00E65E14"/>
    <w:rsid w:val="00E65E3B"/>
    <w:rsid w:val="00E6614E"/>
    <w:rsid w:val="00E6628A"/>
    <w:rsid w:val="00E662A0"/>
    <w:rsid w:val="00E66333"/>
    <w:rsid w:val="00E667F8"/>
    <w:rsid w:val="00E6686E"/>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67E8D"/>
    <w:rsid w:val="00E70038"/>
    <w:rsid w:val="00E7038F"/>
    <w:rsid w:val="00E705CD"/>
    <w:rsid w:val="00E70998"/>
    <w:rsid w:val="00E70B9E"/>
    <w:rsid w:val="00E70CC4"/>
    <w:rsid w:val="00E71164"/>
    <w:rsid w:val="00E711C6"/>
    <w:rsid w:val="00E715DF"/>
    <w:rsid w:val="00E71802"/>
    <w:rsid w:val="00E71893"/>
    <w:rsid w:val="00E718C0"/>
    <w:rsid w:val="00E71A0B"/>
    <w:rsid w:val="00E71AE5"/>
    <w:rsid w:val="00E71C79"/>
    <w:rsid w:val="00E71CB4"/>
    <w:rsid w:val="00E71D4E"/>
    <w:rsid w:val="00E71F8E"/>
    <w:rsid w:val="00E72003"/>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C40"/>
    <w:rsid w:val="00E76ED2"/>
    <w:rsid w:val="00E76F06"/>
    <w:rsid w:val="00E771A2"/>
    <w:rsid w:val="00E77213"/>
    <w:rsid w:val="00E77242"/>
    <w:rsid w:val="00E77401"/>
    <w:rsid w:val="00E774B9"/>
    <w:rsid w:val="00E77567"/>
    <w:rsid w:val="00E7773E"/>
    <w:rsid w:val="00E77763"/>
    <w:rsid w:val="00E777FF"/>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2BD"/>
    <w:rsid w:val="00E84310"/>
    <w:rsid w:val="00E845C7"/>
    <w:rsid w:val="00E84809"/>
    <w:rsid w:val="00E8496E"/>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ACF"/>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C5"/>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503"/>
    <w:rsid w:val="00EA47F7"/>
    <w:rsid w:val="00EA49F9"/>
    <w:rsid w:val="00EA4ACA"/>
    <w:rsid w:val="00EA4E30"/>
    <w:rsid w:val="00EA4E46"/>
    <w:rsid w:val="00EA4FC3"/>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23"/>
    <w:rsid w:val="00EB10CF"/>
    <w:rsid w:val="00EB125C"/>
    <w:rsid w:val="00EB1480"/>
    <w:rsid w:val="00EB148D"/>
    <w:rsid w:val="00EB14B8"/>
    <w:rsid w:val="00EB15AD"/>
    <w:rsid w:val="00EB16CB"/>
    <w:rsid w:val="00EB1B8A"/>
    <w:rsid w:val="00EB1D61"/>
    <w:rsid w:val="00EB2104"/>
    <w:rsid w:val="00EB22DE"/>
    <w:rsid w:val="00EB234D"/>
    <w:rsid w:val="00EB24E6"/>
    <w:rsid w:val="00EB27F3"/>
    <w:rsid w:val="00EB28D8"/>
    <w:rsid w:val="00EB29BD"/>
    <w:rsid w:val="00EB29F1"/>
    <w:rsid w:val="00EB2A82"/>
    <w:rsid w:val="00EB2C46"/>
    <w:rsid w:val="00EB2DF2"/>
    <w:rsid w:val="00EB2F5A"/>
    <w:rsid w:val="00EB2F86"/>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92B"/>
    <w:rsid w:val="00EB5A85"/>
    <w:rsid w:val="00EB5FA6"/>
    <w:rsid w:val="00EB601C"/>
    <w:rsid w:val="00EB603D"/>
    <w:rsid w:val="00EB60E1"/>
    <w:rsid w:val="00EB6186"/>
    <w:rsid w:val="00EB6258"/>
    <w:rsid w:val="00EB63D8"/>
    <w:rsid w:val="00EB6563"/>
    <w:rsid w:val="00EB65CE"/>
    <w:rsid w:val="00EB6621"/>
    <w:rsid w:val="00EB66D0"/>
    <w:rsid w:val="00EB66FA"/>
    <w:rsid w:val="00EB6844"/>
    <w:rsid w:val="00EB6BBC"/>
    <w:rsid w:val="00EB6FFA"/>
    <w:rsid w:val="00EB7038"/>
    <w:rsid w:val="00EB7182"/>
    <w:rsid w:val="00EB75D8"/>
    <w:rsid w:val="00EB769E"/>
    <w:rsid w:val="00EB76FE"/>
    <w:rsid w:val="00EB789A"/>
    <w:rsid w:val="00EB79D5"/>
    <w:rsid w:val="00EB7ABD"/>
    <w:rsid w:val="00EB7B50"/>
    <w:rsid w:val="00EB7BB4"/>
    <w:rsid w:val="00EB7C3C"/>
    <w:rsid w:val="00EB7C7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DD8"/>
    <w:rsid w:val="00EC0E6E"/>
    <w:rsid w:val="00EC0E7D"/>
    <w:rsid w:val="00EC0FAC"/>
    <w:rsid w:val="00EC0FBC"/>
    <w:rsid w:val="00EC0FE6"/>
    <w:rsid w:val="00EC109A"/>
    <w:rsid w:val="00EC1149"/>
    <w:rsid w:val="00EC1280"/>
    <w:rsid w:val="00EC12A9"/>
    <w:rsid w:val="00EC1324"/>
    <w:rsid w:val="00EC14EE"/>
    <w:rsid w:val="00EC176B"/>
    <w:rsid w:val="00EC1975"/>
    <w:rsid w:val="00EC1B6C"/>
    <w:rsid w:val="00EC1BC7"/>
    <w:rsid w:val="00EC1BD3"/>
    <w:rsid w:val="00EC1BF9"/>
    <w:rsid w:val="00EC1C04"/>
    <w:rsid w:val="00EC1E0A"/>
    <w:rsid w:val="00EC1E22"/>
    <w:rsid w:val="00EC229E"/>
    <w:rsid w:val="00EC22CC"/>
    <w:rsid w:val="00EC2470"/>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2F60"/>
    <w:rsid w:val="00ED3090"/>
    <w:rsid w:val="00ED30B8"/>
    <w:rsid w:val="00ED3116"/>
    <w:rsid w:val="00ED3537"/>
    <w:rsid w:val="00ED366B"/>
    <w:rsid w:val="00ED3856"/>
    <w:rsid w:val="00ED38D0"/>
    <w:rsid w:val="00ED3A88"/>
    <w:rsid w:val="00ED3B3D"/>
    <w:rsid w:val="00ED3D24"/>
    <w:rsid w:val="00ED3E22"/>
    <w:rsid w:val="00ED41A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7A"/>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D7C0A"/>
    <w:rsid w:val="00ED7DAD"/>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1EA8"/>
    <w:rsid w:val="00EE2114"/>
    <w:rsid w:val="00EE2139"/>
    <w:rsid w:val="00EE21FF"/>
    <w:rsid w:val="00EE2312"/>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AEB"/>
    <w:rsid w:val="00EE5BDD"/>
    <w:rsid w:val="00EE5D7D"/>
    <w:rsid w:val="00EE5DAE"/>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95"/>
    <w:rsid w:val="00EE7AFB"/>
    <w:rsid w:val="00EE7BAD"/>
    <w:rsid w:val="00EE7BD2"/>
    <w:rsid w:val="00EE7C84"/>
    <w:rsid w:val="00EE7D34"/>
    <w:rsid w:val="00EE7D43"/>
    <w:rsid w:val="00EE7D86"/>
    <w:rsid w:val="00EE7E6B"/>
    <w:rsid w:val="00EF0099"/>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B5C"/>
    <w:rsid w:val="00EF1C1E"/>
    <w:rsid w:val="00EF1C4B"/>
    <w:rsid w:val="00EF1C97"/>
    <w:rsid w:val="00EF1F15"/>
    <w:rsid w:val="00EF2004"/>
    <w:rsid w:val="00EF2041"/>
    <w:rsid w:val="00EF212E"/>
    <w:rsid w:val="00EF2231"/>
    <w:rsid w:val="00EF2310"/>
    <w:rsid w:val="00EF236D"/>
    <w:rsid w:val="00EF25DF"/>
    <w:rsid w:val="00EF26ED"/>
    <w:rsid w:val="00EF27E5"/>
    <w:rsid w:val="00EF283D"/>
    <w:rsid w:val="00EF293B"/>
    <w:rsid w:val="00EF2B60"/>
    <w:rsid w:val="00EF2B79"/>
    <w:rsid w:val="00EF2C97"/>
    <w:rsid w:val="00EF2D04"/>
    <w:rsid w:val="00EF2E8F"/>
    <w:rsid w:val="00EF2EA4"/>
    <w:rsid w:val="00EF3112"/>
    <w:rsid w:val="00EF3218"/>
    <w:rsid w:val="00EF33AC"/>
    <w:rsid w:val="00EF3733"/>
    <w:rsid w:val="00EF379A"/>
    <w:rsid w:val="00EF3CEE"/>
    <w:rsid w:val="00EF3DB8"/>
    <w:rsid w:val="00EF3DD5"/>
    <w:rsid w:val="00EF3DE8"/>
    <w:rsid w:val="00EF433C"/>
    <w:rsid w:val="00EF446F"/>
    <w:rsid w:val="00EF4503"/>
    <w:rsid w:val="00EF4764"/>
    <w:rsid w:val="00EF4A53"/>
    <w:rsid w:val="00EF4AE1"/>
    <w:rsid w:val="00EF4BC3"/>
    <w:rsid w:val="00EF4C54"/>
    <w:rsid w:val="00EF4D77"/>
    <w:rsid w:val="00EF4DDF"/>
    <w:rsid w:val="00EF4E79"/>
    <w:rsid w:val="00EF5038"/>
    <w:rsid w:val="00EF50AB"/>
    <w:rsid w:val="00EF5288"/>
    <w:rsid w:val="00EF52EE"/>
    <w:rsid w:val="00EF537E"/>
    <w:rsid w:val="00EF55B7"/>
    <w:rsid w:val="00EF55D6"/>
    <w:rsid w:val="00EF55F4"/>
    <w:rsid w:val="00EF57E0"/>
    <w:rsid w:val="00EF5855"/>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0F58"/>
    <w:rsid w:val="00F01080"/>
    <w:rsid w:val="00F01082"/>
    <w:rsid w:val="00F0112E"/>
    <w:rsid w:val="00F011F5"/>
    <w:rsid w:val="00F01321"/>
    <w:rsid w:val="00F013A6"/>
    <w:rsid w:val="00F0158C"/>
    <w:rsid w:val="00F0164E"/>
    <w:rsid w:val="00F01C99"/>
    <w:rsid w:val="00F01D34"/>
    <w:rsid w:val="00F01ECD"/>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591"/>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5FDC"/>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188"/>
    <w:rsid w:val="00F112D9"/>
    <w:rsid w:val="00F11300"/>
    <w:rsid w:val="00F11416"/>
    <w:rsid w:val="00F114A7"/>
    <w:rsid w:val="00F115DB"/>
    <w:rsid w:val="00F11621"/>
    <w:rsid w:val="00F1170F"/>
    <w:rsid w:val="00F117AF"/>
    <w:rsid w:val="00F117F7"/>
    <w:rsid w:val="00F11B69"/>
    <w:rsid w:val="00F11B95"/>
    <w:rsid w:val="00F11C7C"/>
    <w:rsid w:val="00F11DA3"/>
    <w:rsid w:val="00F12025"/>
    <w:rsid w:val="00F12057"/>
    <w:rsid w:val="00F12069"/>
    <w:rsid w:val="00F1211A"/>
    <w:rsid w:val="00F12490"/>
    <w:rsid w:val="00F12718"/>
    <w:rsid w:val="00F12DAD"/>
    <w:rsid w:val="00F12DE4"/>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598"/>
    <w:rsid w:val="00F179D5"/>
    <w:rsid w:val="00F17A48"/>
    <w:rsid w:val="00F17A81"/>
    <w:rsid w:val="00F17B27"/>
    <w:rsid w:val="00F17D0D"/>
    <w:rsid w:val="00F17EC3"/>
    <w:rsid w:val="00F17F16"/>
    <w:rsid w:val="00F20005"/>
    <w:rsid w:val="00F20178"/>
    <w:rsid w:val="00F2021B"/>
    <w:rsid w:val="00F2062A"/>
    <w:rsid w:val="00F20746"/>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2DB"/>
    <w:rsid w:val="00F233B3"/>
    <w:rsid w:val="00F23410"/>
    <w:rsid w:val="00F235EE"/>
    <w:rsid w:val="00F236CD"/>
    <w:rsid w:val="00F236D4"/>
    <w:rsid w:val="00F2381E"/>
    <w:rsid w:val="00F2387E"/>
    <w:rsid w:val="00F2393C"/>
    <w:rsid w:val="00F23AF6"/>
    <w:rsid w:val="00F23BE8"/>
    <w:rsid w:val="00F23DEB"/>
    <w:rsid w:val="00F23EB2"/>
    <w:rsid w:val="00F23F48"/>
    <w:rsid w:val="00F23F58"/>
    <w:rsid w:val="00F2401C"/>
    <w:rsid w:val="00F241FF"/>
    <w:rsid w:val="00F24278"/>
    <w:rsid w:val="00F242E5"/>
    <w:rsid w:val="00F2431D"/>
    <w:rsid w:val="00F2467A"/>
    <w:rsid w:val="00F246CB"/>
    <w:rsid w:val="00F247A9"/>
    <w:rsid w:val="00F24B77"/>
    <w:rsid w:val="00F24BB0"/>
    <w:rsid w:val="00F24C01"/>
    <w:rsid w:val="00F24C6A"/>
    <w:rsid w:val="00F24D8F"/>
    <w:rsid w:val="00F24FE3"/>
    <w:rsid w:val="00F251BD"/>
    <w:rsid w:val="00F2524E"/>
    <w:rsid w:val="00F2536F"/>
    <w:rsid w:val="00F2537F"/>
    <w:rsid w:val="00F254D3"/>
    <w:rsid w:val="00F255CF"/>
    <w:rsid w:val="00F258E5"/>
    <w:rsid w:val="00F25A16"/>
    <w:rsid w:val="00F25B42"/>
    <w:rsid w:val="00F25CFB"/>
    <w:rsid w:val="00F25D98"/>
    <w:rsid w:val="00F25E9A"/>
    <w:rsid w:val="00F26195"/>
    <w:rsid w:val="00F261D9"/>
    <w:rsid w:val="00F2626A"/>
    <w:rsid w:val="00F26375"/>
    <w:rsid w:val="00F26DBC"/>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E9D"/>
    <w:rsid w:val="00F31F43"/>
    <w:rsid w:val="00F31FA5"/>
    <w:rsid w:val="00F320F9"/>
    <w:rsid w:val="00F3270D"/>
    <w:rsid w:val="00F3275D"/>
    <w:rsid w:val="00F327C5"/>
    <w:rsid w:val="00F329A6"/>
    <w:rsid w:val="00F32A4B"/>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D4F"/>
    <w:rsid w:val="00F37E46"/>
    <w:rsid w:val="00F37F32"/>
    <w:rsid w:val="00F4010F"/>
    <w:rsid w:val="00F403AA"/>
    <w:rsid w:val="00F404B5"/>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CFF"/>
    <w:rsid w:val="00F43D4A"/>
    <w:rsid w:val="00F43F37"/>
    <w:rsid w:val="00F44098"/>
    <w:rsid w:val="00F44146"/>
    <w:rsid w:val="00F442EF"/>
    <w:rsid w:val="00F44335"/>
    <w:rsid w:val="00F4447C"/>
    <w:rsid w:val="00F44783"/>
    <w:rsid w:val="00F44A58"/>
    <w:rsid w:val="00F44A95"/>
    <w:rsid w:val="00F44AF9"/>
    <w:rsid w:val="00F44C29"/>
    <w:rsid w:val="00F44E07"/>
    <w:rsid w:val="00F44EDC"/>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4E3"/>
    <w:rsid w:val="00F466A2"/>
    <w:rsid w:val="00F466B6"/>
    <w:rsid w:val="00F46702"/>
    <w:rsid w:val="00F467C9"/>
    <w:rsid w:val="00F46899"/>
    <w:rsid w:val="00F46E8B"/>
    <w:rsid w:val="00F46EB5"/>
    <w:rsid w:val="00F46EE9"/>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AFE"/>
    <w:rsid w:val="00F55E63"/>
    <w:rsid w:val="00F55ECC"/>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57DDC"/>
    <w:rsid w:val="00F57F5D"/>
    <w:rsid w:val="00F600FF"/>
    <w:rsid w:val="00F601F4"/>
    <w:rsid w:val="00F60292"/>
    <w:rsid w:val="00F60313"/>
    <w:rsid w:val="00F6076E"/>
    <w:rsid w:val="00F607BC"/>
    <w:rsid w:val="00F60897"/>
    <w:rsid w:val="00F609AB"/>
    <w:rsid w:val="00F60A45"/>
    <w:rsid w:val="00F60BEB"/>
    <w:rsid w:val="00F60D1F"/>
    <w:rsid w:val="00F60D31"/>
    <w:rsid w:val="00F60F72"/>
    <w:rsid w:val="00F612AC"/>
    <w:rsid w:val="00F613DC"/>
    <w:rsid w:val="00F6160C"/>
    <w:rsid w:val="00F616EB"/>
    <w:rsid w:val="00F61974"/>
    <w:rsid w:val="00F61A3E"/>
    <w:rsid w:val="00F61B01"/>
    <w:rsid w:val="00F61B0C"/>
    <w:rsid w:val="00F61C20"/>
    <w:rsid w:val="00F61C54"/>
    <w:rsid w:val="00F61DA0"/>
    <w:rsid w:val="00F61E6A"/>
    <w:rsid w:val="00F61E99"/>
    <w:rsid w:val="00F62411"/>
    <w:rsid w:val="00F624DC"/>
    <w:rsid w:val="00F6279C"/>
    <w:rsid w:val="00F62AFC"/>
    <w:rsid w:val="00F62B61"/>
    <w:rsid w:val="00F62CA3"/>
    <w:rsid w:val="00F62FB2"/>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C63"/>
    <w:rsid w:val="00F63D3B"/>
    <w:rsid w:val="00F63D4D"/>
    <w:rsid w:val="00F63DB6"/>
    <w:rsid w:val="00F63EA1"/>
    <w:rsid w:val="00F63EE8"/>
    <w:rsid w:val="00F64058"/>
    <w:rsid w:val="00F640CC"/>
    <w:rsid w:val="00F6418E"/>
    <w:rsid w:val="00F641F4"/>
    <w:rsid w:val="00F642A6"/>
    <w:rsid w:val="00F6433F"/>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8A5"/>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51"/>
    <w:rsid w:val="00F67AA6"/>
    <w:rsid w:val="00F67B40"/>
    <w:rsid w:val="00F67C6D"/>
    <w:rsid w:val="00F67F12"/>
    <w:rsid w:val="00F67FC8"/>
    <w:rsid w:val="00F70006"/>
    <w:rsid w:val="00F70179"/>
    <w:rsid w:val="00F704B8"/>
    <w:rsid w:val="00F70564"/>
    <w:rsid w:val="00F705FA"/>
    <w:rsid w:val="00F70621"/>
    <w:rsid w:val="00F70709"/>
    <w:rsid w:val="00F707B1"/>
    <w:rsid w:val="00F709DC"/>
    <w:rsid w:val="00F70A44"/>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B5F"/>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83B"/>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4"/>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3FE7"/>
    <w:rsid w:val="00F840F1"/>
    <w:rsid w:val="00F84163"/>
    <w:rsid w:val="00F841F1"/>
    <w:rsid w:val="00F84307"/>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B4D"/>
    <w:rsid w:val="00F85D3E"/>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18"/>
    <w:rsid w:val="00F87358"/>
    <w:rsid w:val="00F87367"/>
    <w:rsid w:val="00F8736F"/>
    <w:rsid w:val="00F87383"/>
    <w:rsid w:val="00F87487"/>
    <w:rsid w:val="00F87596"/>
    <w:rsid w:val="00F87708"/>
    <w:rsid w:val="00F878F2"/>
    <w:rsid w:val="00F87B06"/>
    <w:rsid w:val="00F87B6B"/>
    <w:rsid w:val="00F87CB8"/>
    <w:rsid w:val="00F87CC3"/>
    <w:rsid w:val="00F87D60"/>
    <w:rsid w:val="00F87E64"/>
    <w:rsid w:val="00F87FDE"/>
    <w:rsid w:val="00F9020D"/>
    <w:rsid w:val="00F9025C"/>
    <w:rsid w:val="00F9063E"/>
    <w:rsid w:val="00F90783"/>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66"/>
    <w:rsid w:val="00F921AF"/>
    <w:rsid w:val="00F921B3"/>
    <w:rsid w:val="00F922C3"/>
    <w:rsid w:val="00F9242B"/>
    <w:rsid w:val="00F92536"/>
    <w:rsid w:val="00F9287C"/>
    <w:rsid w:val="00F92BD7"/>
    <w:rsid w:val="00F92EF9"/>
    <w:rsid w:val="00F92FAA"/>
    <w:rsid w:val="00F9305F"/>
    <w:rsid w:val="00F930E2"/>
    <w:rsid w:val="00F93411"/>
    <w:rsid w:val="00F935C6"/>
    <w:rsid w:val="00F935EC"/>
    <w:rsid w:val="00F935FC"/>
    <w:rsid w:val="00F9379C"/>
    <w:rsid w:val="00F937C2"/>
    <w:rsid w:val="00F937DF"/>
    <w:rsid w:val="00F93BC3"/>
    <w:rsid w:val="00F93EC1"/>
    <w:rsid w:val="00F93F53"/>
    <w:rsid w:val="00F94000"/>
    <w:rsid w:val="00F9403D"/>
    <w:rsid w:val="00F942F0"/>
    <w:rsid w:val="00F94455"/>
    <w:rsid w:val="00F944A1"/>
    <w:rsid w:val="00F94545"/>
    <w:rsid w:val="00F947F5"/>
    <w:rsid w:val="00F94846"/>
    <w:rsid w:val="00F949C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6A6"/>
    <w:rsid w:val="00F96869"/>
    <w:rsid w:val="00F96A52"/>
    <w:rsid w:val="00F96B99"/>
    <w:rsid w:val="00F96F3F"/>
    <w:rsid w:val="00F971DD"/>
    <w:rsid w:val="00F97333"/>
    <w:rsid w:val="00F97566"/>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7E"/>
    <w:rsid w:val="00FA1259"/>
    <w:rsid w:val="00FA12BA"/>
    <w:rsid w:val="00FA1352"/>
    <w:rsid w:val="00FA13DD"/>
    <w:rsid w:val="00FA1590"/>
    <w:rsid w:val="00FA1699"/>
    <w:rsid w:val="00FA1739"/>
    <w:rsid w:val="00FA1C25"/>
    <w:rsid w:val="00FA1D81"/>
    <w:rsid w:val="00FA1F3B"/>
    <w:rsid w:val="00FA1F44"/>
    <w:rsid w:val="00FA1FA1"/>
    <w:rsid w:val="00FA201F"/>
    <w:rsid w:val="00FA2264"/>
    <w:rsid w:val="00FA2277"/>
    <w:rsid w:val="00FA22A0"/>
    <w:rsid w:val="00FA22CF"/>
    <w:rsid w:val="00FA2354"/>
    <w:rsid w:val="00FA24AC"/>
    <w:rsid w:val="00FA270C"/>
    <w:rsid w:val="00FA2884"/>
    <w:rsid w:val="00FA2A33"/>
    <w:rsid w:val="00FA2D02"/>
    <w:rsid w:val="00FA316C"/>
    <w:rsid w:val="00FA3280"/>
    <w:rsid w:val="00FA3287"/>
    <w:rsid w:val="00FA38D0"/>
    <w:rsid w:val="00FA3959"/>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4D7"/>
    <w:rsid w:val="00FA55AB"/>
    <w:rsid w:val="00FA55C0"/>
    <w:rsid w:val="00FA56AE"/>
    <w:rsid w:val="00FA56E7"/>
    <w:rsid w:val="00FA5BFD"/>
    <w:rsid w:val="00FA5C38"/>
    <w:rsid w:val="00FA5E4D"/>
    <w:rsid w:val="00FA5E5C"/>
    <w:rsid w:val="00FA6179"/>
    <w:rsid w:val="00FA62B3"/>
    <w:rsid w:val="00FA62BC"/>
    <w:rsid w:val="00FA6329"/>
    <w:rsid w:val="00FA63C7"/>
    <w:rsid w:val="00FA65A1"/>
    <w:rsid w:val="00FA65C9"/>
    <w:rsid w:val="00FA674D"/>
    <w:rsid w:val="00FA698B"/>
    <w:rsid w:val="00FA69E5"/>
    <w:rsid w:val="00FA6CF0"/>
    <w:rsid w:val="00FA6DFF"/>
    <w:rsid w:val="00FA6FFD"/>
    <w:rsid w:val="00FA709C"/>
    <w:rsid w:val="00FA709F"/>
    <w:rsid w:val="00FA7340"/>
    <w:rsid w:val="00FA7376"/>
    <w:rsid w:val="00FA73A7"/>
    <w:rsid w:val="00FA7486"/>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1D"/>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C90"/>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26"/>
    <w:rsid w:val="00FB54D3"/>
    <w:rsid w:val="00FB5738"/>
    <w:rsid w:val="00FB575F"/>
    <w:rsid w:val="00FB5778"/>
    <w:rsid w:val="00FB5887"/>
    <w:rsid w:val="00FB5BBC"/>
    <w:rsid w:val="00FB5C68"/>
    <w:rsid w:val="00FB5EE8"/>
    <w:rsid w:val="00FB5F26"/>
    <w:rsid w:val="00FB608D"/>
    <w:rsid w:val="00FB6195"/>
    <w:rsid w:val="00FB627E"/>
    <w:rsid w:val="00FB6501"/>
    <w:rsid w:val="00FB662C"/>
    <w:rsid w:val="00FB67DA"/>
    <w:rsid w:val="00FB686D"/>
    <w:rsid w:val="00FB68F9"/>
    <w:rsid w:val="00FB695C"/>
    <w:rsid w:val="00FB6AED"/>
    <w:rsid w:val="00FB6CE6"/>
    <w:rsid w:val="00FB6D1D"/>
    <w:rsid w:val="00FB6E7B"/>
    <w:rsid w:val="00FB6FB3"/>
    <w:rsid w:val="00FB7177"/>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79F"/>
    <w:rsid w:val="00FC1836"/>
    <w:rsid w:val="00FC1949"/>
    <w:rsid w:val="00FC1AB4"/>
    <w:rsid w:val="00FC1C3F"/>
    <w:rsid w:val="00FC1CD4"/>
    <w:rsid w:val="00FC1D8C"/>
    <w:rsid w:val="00FC1E59"/>
    <w:rsid w:val="00FC1EBB"/>
    <w:rsid w:val="00FC2196"/>
    <w:rsid w:val="00FC24B7"/>
    <w:rsid w:val="00FC2653"/>
    <w:rsid w:val="00FC26E1"/>
    <w:rsid w:val="00FC2874"/>
    <w:rsid w:val="00FC29D1"/>
    <w:rsid w:val="00FC2AB0"/>
    <w:rsid w:val="00FC2C1A"/>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BDC"/>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69"/>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7B"/>
    <w:rsid w:val="00FD32EB"/>
    <w:rsid w:val="00FD3461"/>
    <w:rsid w:val="00FD3653"/>
    <w:rsid w:val="00FD3685"/>
    <w:rsid w:val="00FD3834"/>
    <w:rsid w:val="00FD38EF"/>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E1E"/>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0CD"/>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6E6"/>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093"/>
    <w:rsid w:val="00FE42C4"/>
    <w:rsid w:val="00FE42DE"/>
    <w:rsid w:val="00FE436D"/>
    <w:rsid w:val="00FE438C"/>
    <w:rsid w:val="00FE47C7"/>
    <w:rsid w:val="00FE4872"/>
    <w:rsid w:val="00FE48C9"/>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6DF"/>
    <w:rsid w:val="00FE6A17"/>
    <w:rsid w:val="00FE6B21"/>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65D"/>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26B"/>
    <w:rsid w:val="00FF25DF"/>
    <w:rsid w:val="00FF2617"/>
    <w:rsid w:val="00FF26B2"/>
    <w:rsid w:val="00FF271D"/>
    <w:rsid w:val="00FF27B7"/>
    <w:rsid w:val="00FF2B0D"/>
    <w:rsid w:val="00FF2CC3"/>
    <w:rsid w:val="00FF2CFC"/>
    <w:rsid w:val="00FF2D05"/>
    <w:rsid w:val="00FF30B7"/>
    <w:rsid w:val="00FF30C5"/>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82"/>
    <w:rsid w:val="00FF4267"/>
    <w:rsid w:val="00FF42BC"/>
    <w:rsid w:val="00FF44F0"/>
    <w:rsid w:val="00FF4515"/>
    <w:rsid w:val="00FF5002"/>
    <w:rsid w:val="00FF52D9"/>
    <w:rsid w:val="00FF53D7"/>
    <w:rsid w:val="00FF54F1"/>
    <w:rsid w:val="00FF5516"/>
    <w:rsid w:val="00FF564B"/>
    <w:rsid w:val="00FF565D"/>
    <w:rsid w:val="00FF5A4B"/>
    <w:rsid w:val="00FF5AE0"/>
    <w:rsid w:val="00FF5AE5"/>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B2E"/>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6AF31FB0-CA60-4013-9C44-6BBEB849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tabs>
        <w:tab w:val="num" w:pos="360"/>
      </w:tabs>
      <w:ind w:left="720" w:hanging="720"/>
      <w:outlineLvl w:val="3"/>
    </w:pPr>
    <w:rPr>
      <w:sz w:val="24"/>
    </w:rPr>
  </w:style>
  <w:style w:type="paragraph" w:styleId="Heading5">
    <w:name w:val="heading 5"/>
    <w:basedOn w:val="Heading4"/>
    <w:next w:val="Normal"/>
    <w:qFormat/>
    <w:rsid w:val="005A5C71"/>
    <w:pPr>
      <w:numPr>
        <w:ilvl w:val="4"/>
      </w:numPr>
      <w:tabs>
        <w:tab w:val="num" w:pos="360"/>
      </w:tabs>
      <w:ind w:left="720" w:hanging="720"/>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uiPriority w:val="99"/>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uiPriority w:val="99"/>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qFormat/>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character" w:styleId="UnresolvedMention">
    <w:name w:val="Unresolved Mention"/>
    <w:basedOn w:val="DefaultParagraphFont"/>
    <w:uiPriority w:val="99"/>
    <w:semiHidden/>
    <w:unhideWhenUsed/>
    <w:rsid w:val="00DB5391"/>
    <w:rPr>
      <w:color w:val="605E5C"/>
      <w:shd w:val="clear" w:color="auto" w:fill="E1DFDD"/>
    </w:rPr>
  </w:style>
  <w:style w:type="paragraph" w:customStyle="1" w:styleId="0Maintext">
    <w:name w:val="0 Main text"/>
    <w:basedOn w:val="Normal"/>
    <w:link w:val="0MaintextChar"/>
    <w:qFormat/>
    <w:rsid w:val="007F2B44"/>
    <w:pPr>
      <w:overflowPunct/>
      <w:autoSpaceDE/>
      <w:autoSpaceDN/>
      <w:adjustRightInd/>
      <w:spacing w:after="120" w:line="276" w:lineRule="auto"/>
      <w:jc w:val="both"/>
      <w:textAlignment w:val="auto"/>
    </w:pPr>
    <w:rPr>
      <w:rFonts w:cs="Batang"/>
      <w:lang w:eastAsia="en-US"/>
    </w:rPr>
  </w:style>
  <w:style w:type="character" w:customStyle="1" w:styleId="0MaintextChar">
    <w:name w:val="0 Main text Char"/>
    <w:basedOn w:val="DefaultParagraphFont"/>
    <w:link w:val="0Maintext"/>
    <w:qFormat/>
    <w:rsid w:val="007F2B44"/>
    <w:rPr>
      <w:rFonts w:eastAsia="Times New Roman" w:cs="Batang"/>
      <w:lang w:eastAsia="en-US"/>
    </w:rPr>
  </w:style>
  <w:style w:type="paragraph" w:customStyle="1" w:styleId="H3Proposal">
    <w:name w:val="H3_Proposal"/>
    <w:basedOn w:val="Heading3"/>
    <w:qFormat/>
    <w:rsid w:val="007F2B44"/>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character" w:customStyle="1" w:styleId="B10">
    <w:name w:val="B1 (文字)"/>
    <w:qFormat/>
    <w:locked/>
    <w:rsid w:val="001F55A5"/>
    <w:rPr>
      <w:lang w:eastAsia="en-US"/>
    </w:rPr>
  </w:style>
  <w:style w:type="paragraph" w:customStyle="1" w:styleId="maintext">
    <w:name w:val="main text"/>
    <w:basedOn w:val="Normal"/>
    <w:link w:val="maintextChar"/>
    <w:qFormat/>
    <w:rsid w:val="00AC0724"/>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AC0724"/>
    <w:rPr>
      <w:rFonts w:eastAsia="Malgun Gothic"/>
      <w:lang w:val="en-GB" w:eastAsia="ko-KR"/>
    </w:rPr>
  </w:style>
  <w:style w:type="table" w:styleId="GridTable4-Accent5">
    <w:name w:val="Grid Table 4 Accent 5"/>
    <w:basedOn w:val="TableNormal"/>
    <w:uiPriority w:val="49"/>
    <w:rsid w:val="007C48F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7C48F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7C48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PlainTable3">
    <w:name w:val="Plain Table 3"/>
    <w:basedOn w:val="TableNormal"/>
    <w:uiPriority w:val="43"/>
    <w:rsid w:val="004103A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7">
      <w:bodyDiv w:val="1"/>
      <w:marLeft w:val="0"/>
      <w:marRight w:val="0"/>
      <w:marTop w:val="0"/>
      <w:marBottom w:val="0"/>
      <w:divBdr>
        <w:top w:val="none" w:sz="0" w:space="0" w:color="auto"/>
        <w:left w:val="none" w:sz="0" w:space="0" w:color="auto"/>
        <w:bottom w:val="none" w:sz="0" w:space="0" w:color="auto"/>
        <w:right w:val="none" w:sz="0" w:space="0" w:color="auto"/>
      </w:divBdr>
    </w:div>
    <w:div w:id="2821323">
      <w:bodyDiv w:val="1"/>
      <w:marLeft w:val="0"/>
      <w:marRight w:val="0"/>
      <w:marTop w:val="0"/>
      <w:marBottom w:val="0"/>
      <w:divBdr>
        <w:top w:val="none" w:sz="0" w:space="0" w:color="auto"/>
        <w:left w:val="none" w:sz="0" w:space="0" w:color="auto"/>
        <w:bottom w:val="none" w:sz="0" w:space="0" w:color="auto"/>
        <w:right w:val="none" w:sz="0" w:space="0" w:color="auto"/>
      </w:divBdr>
    </w:div>
    <w:div w:id="3168668">
      <w:bodyDiv w:val="1"/>
      <w:marLeft w:val="0"/>
      <w:marRight w:val="0"/>
      <w:marTop w:val="0"/>
      <w:marBottom w:val="0"/>
      <w:divBdr>
        <w:top w:val="none" w:sz="0" w:space="0" w:color="auto"/>
        <w:left w:val="none" w:sz="0" w:space="0" w:color="auto"/>
        <w:bottom w:val="none" w:sz="0" w:space="0" w:color="auto"/>
        <w:right w:val="none" w:sz="0" w:space="0" w:color="auto"/>
      </w:divBdr>
    </w:div>
    <w:div w:id="8797868">
      <w:bodyDiv w:val="1"/>
      <w:marLeft w:val="0"/>
      <w:marRight w:val="0"/>
      <w:marTop w:val="0"/>
      <w:marBottom w:val="0"/>
      <w:divBdr>
        <w:top w:val="none" w:sz="0" w:space="0" w:color="auto"/>
        <w:left w:val="none" w:sz="0" w:space="0" w:color="auto"/>
        <w:bottom w:val="none" w:sz="0" w:space="0" w:color="auto"/>
        <w:right w:val="none" w:sz="0" w:space="0" w:color="auto"/>
      </w:divBdr>
    </w:div>
    <w:div w:id="10112827">
      <w:bodyDiv w:val="1"/>
      <w:marLeft w:val="0"/>
      <w:marRight w:val="0"/>
      <w:marTop w:val="0"/>
      <w:marBottom w:val="0"/>
      <w:divBdr>
        <w:top w:val="none" w:sz="0" w:space="0" w:color="auto"/>
        <w:left w:val="none" w:sz="0" w:space="0" w:color="auto"/>
        <w:bottom w:val="none" w:sz="0" w:space="0" w:color="auto"/>
        <w:right w:val="none" w:sz="0" w:space="0" w:color="auto"/>
      </w:divBdr>
    </w:div>
    <w:div w:id="13457205">
      <w:bodyDiv w:val="1"/>
      <w:marLeft w:val="0"/>
      <w:marRight w:val="0"/>
      <w:marTop w:val="0"/>
      <w:marBottom w:val="0"/>
      <w:divBdr>
        <w:top w:val="none" w:sz="0" w:space="0" w:color="auto"/>
        <w:left w:val="none" w:sz="0" w:space="0" w:color="auto"/>
        <w:bottom w:val="none" w:sz="0" w:space="0" w:color="auto"/>
        <w:right w:val="none" w:sz="0" w:space="0" w:color="auto"/>
      </w:divBdr>
    </w:div>
    <w:div w:id="14039672">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23875021">
      <w:bodyDiv w:val="1"/>
      <w:marLeft w:val="0"/>
      <w:marRight w:val="0"/>
      <w:marTop w:val="0"/>
      <w:marBottom w:val="0"/>
      <w:divBdr>
        <w:top w:val="none" w:sz="0" w:space="0" w:color="auto"/>
        <w:left w:val="none" w:sz="0" w:space="0" w:color="auto"/>
        <w:bottom w:val="none" w:sz="0" w:space="0" w:color="auto"/>
        <w:right w:val="none" w:sz="0" w:space="0" w:color="auto"/>
      </w:divBdr>
    </w:div>
    <w:div w:id="24791337">
      <w:bodyDiv w:val="1"/>
      <w:marLeft w:val="0"/>
      <w:marRight w:val="0"/>
      <w:marTop w:val="0"/>
      <w:marBottom w:val="0"/>
      <w:divBdr>
        <w:top w:val="none" w:sz="0" w:space="0" w:color="auto"/>
        <w:left w:val="none" w:sz="0" w:space="0" w:color="auto"/>
        <w:bottom w:val="none" w:sz="0" w:space="0" w:color="auto"/>
        <w:right w:val="none" w:sz="0" w:space="0" w:color="auto"/>
      </w:divBdr>
    </w:div>
    <w:div w:id="25452520">
      <w:bodyDiv w:val="1"/>
      <w:marLeft w:val="0"/>
      <w:marRight w:val="0"/>
      <w:marTop w:val="0"/>
      <w:marBottom w:val="0"/>
      <w:divBdr>
        <w:top w:val="none" w:sz="0" w:space="0" w:color="auto"/>
        <w:left w:val="none" w:sz="0" w:space="0" w:color="auto"/>
        <w:bottom w:val="none" w:sz="0" w:space="0" w:color="auto"/>
        <w:right w:val="none" w:sz="0" w:space="0" w:color="auto"/>
      </w:divBdr>
    </w:div>
    <w:div w:id="25910497">
      <w:bodyDiv w:val="1"/>
      <w:marLeft w:val="0"/>
      <w:marRight w:val="0"/>
      <w:marTop w:val="0"/>
      <w:marBottom w:val="0"/>
      <w:divBdr>
        <w:top w:val="none" w:sz="0" w:space="0" w:color="auto"/>
        <w:left w:val="none" w:sz="0" w:space="0" w:color="auto"/>
        <w:bottom w:val="none" w:sz="0" w:space="0" w:color="auto"/>
        <w:right w:val="none" w:sz="0" w:space="0" w:color="auto"/>
      </w:divBdr>
    </w:div>
    <w:div w:id="29033920">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302406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49773658">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073172">
      <w:bodyDiv w:val="1"/>
      <w:marLeft w:val="0"/>
      <w:marRight w:val="0"/>
      <w:marTop w:val="0"/>
      <w:marBottom w:val="0"/>
      <w:divBdr>
        <w:top w:val="none" w:sz="0" w:space="0" w:color="auto"/>
        <w:left w:val="none" w:sz="0" w:space="0" w:color="auto"/>
        <w:bottom w:val="none" w:sz="0" w:space="0" w:color="auto"/>
        <w:right w:val="none" w:sz="0" w:space="0" w:color="auto"/>
      </w:divBdr>
    </w:div>
    <w:div w:id="65232244">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2801939">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4717583">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799954">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0614758">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14640395">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47478181">
      <w:bodyDiv w:val="1"/>
      <w:marLeft w:val="0"/>
      <w:marRight w:val="0"/>
      <w:marTop w:val="0"/>
      <w:marBottom w:val="0"/>
      <w:divBdr>
        <w:top w:val="none" w:sz="0" w:space="0" w:color="auto"/>
        <w:left w:val="none" w:sz="0" w:space="0" w:color="auto"/>
        <w:bottom w:val="none" w:sz="0" w:space="0" w:color="auto"/>
        <w:right w:val="none" w:sz="0" w:space="0" w:color="auto"/>
      </w:divBdr>
    </w:div>
    <w:div w:id="151483631">
      <w:bodyDiv w:val="1"/>
      <w:marLeft w:val="0"/>
      <w:marRight w:val="0"/>
      <w:marTop w:val="0"/>
      <w:marBottom w:val="0"/>
      <w:divBdr>
        <w:top w:val="none" w:sz="0" w:space="0" w:color="auto"/>
        <w:left w:val="none" w:sz="0" w:space="0" w:color="auto"/>
        <w:bottom w:val="none" w:sz="0" w:space="0" w:color="auto"/>
        <w:right w:val="none" w:sz="0" w:space="0" w:color="auto"/>
      </w:divBdr>
    </w:div>
    <w:div w:id="152265015">
      <w:bodyDiv w:val="1"/>
      <w:marLeft w:val="0"/>
      <w:marRight w:val="0"/>
      <w:marTop w:val="0"/>
      <w:marBottom w:val="0"/>
      <w:divBdr>
        <w:top w:val="none" w:sz="0" w:space="0" w:color="auto"/>
        <w:left w:val="none" w:sz="0" w:space="0" w:color="auto"/>
        <w:bottom w:val="none" w:sz="0" w:space="0" w:color="auto"/>
        <w:right w:val="none" w:sz="0" w:space="0" w:color="auto"/>
      </w:divBdr>
    </w:div>
    <w:div w:id="154686301">
      <w:bodyDiv w:val="1"/>
      <w:marLeft w:val="0"/>
      <w:marRight w:val="0"/>
      <w:marTop w:val="0"/>
      <w:marBottom w:val="0"/>
      <w:divBdr>
        <w:top w:val="none" w:sz="0" w:space="0" w:color="auto"/>
        <w:left w:val="none" w:sz="0" w:space="0" w:color="auto"/>
        <w:bottom w:val="none" w:sz="0" w:space="0" w:color="auto"/>
        <w:right w:val="none" w:sz="0" w:space="0" w:color="auto"/>
      </w:divBdr>
    </w:div>
    <w:div w:id="159656789">
      <w:bodyDiv w:val="1"/>
      <w:marLeft w:val="0"/>
      <w:marRight w:val="0"/>
      <w:marTop w:val="0"/>
      <w:marBottom w:val="0"/>
      <w:divBdr>
        <w:top w:val="none" w:sz="0" w:space="0" w:color="auto"/>
        <w:left w:val="none" w:sz="0" w:space="0" w:color="auto"/>
        <w:bottom w:val="none" w:sz="0" w:space="0" w:color="auto"/>
        <w:right w:val="none" w:sz="0" w:space="0" w:color="auto"/>
      </w:divBdr>
    </w:div>
    <w:div w:id="163206444">
      <w:bodyDiv w:val="1"/>
      <w:marLeft w:val="0"/>
      <w:marRight w:val="0"/>
      <w:marTop w:val="0"/>
      <w:marBottom w:val="0"/>
      <w:divBdr>
        <w:top w:val="none" w:sz="0" w:space="0" w:color="auto"/>
        <w:left w:val="none" w:sz="0" w:space="0" w:color="auto"/>
        <w:bottom w:val="none" w:sz="0" w:space="0" w:color="auto"/>
        <w:right w:val="none" w:sz="0" w:space="0" w:color="auto"/>
      </w:divBdr>
    </w:div>
    <w:div w:id="168064438">
      <w:bodyDiv w:val="1"/>
      <w:marLeft w:val="0"/>
      <w:marRight w:val="0"/>
      <w:marTop w:val="0"/>
      <w:marBottom w:val="0"/>
      <w:divBdr>
        <w:top w:val="none" w:sz="0" w:space="0" w:color="auto"/>
        <w:left w:val="none" w:sz="0" w:space="0" w:color="auto"/>
        <w:bottom w:val="none" w:sz="0" w:space="0" w:color="auto"/>
        <w:right w:val="none" w:sz="0" w:space="0" w:color="auto"/>
      </w:divBdr>
    </w:div>
    <w:div w:id="175507069">
      <w:bodyDiv w:val="1"/>
      <w:marLeft w:val="0"/>
      <w:marRight w:val="0"/>
      <w:marTop w:val="0"/>
      <w:marBottom w:val="0"/>
      <w:divBdr>
        <w:top w:val="none" w:sz="0" w:space="0" w:color="auto"/>
        <w:left w:val="none" w:sz="0" w:space="0" w:color="auto"/>
        <w:bottom w:val="none" w:sz="0" w:space="0" w:color="auto"/>
        <w:right w:val="none" w:sz="0" w:space="0" w:color="auto"/>
      </w:divBdr>
    </w:div>
    <w:div w:id="176123164">
      <w:bodyDiv w:val="1"/>
      <w:marLeft w:val="0"/>
      <w:marRight w:val="0"/>
      <w:marTop w:val="0"/>
      <w:marBottom w:val="0"/>
      <w:divBdr>
        <w:top w:val="none" w:sz="0" w:space="0" w:color="auto"/>
        <w:left w:val="none" w:sz="0" w:space="0" w:color="auto"/>
        <w:bottom w:val="none" w:sz="0" w:space="0" w:color="auto"/>
        <w:right w:val="none" w:sz="0" w:space="0" w:color="auto"/>
      </w:divBdr>
    </w:div>
    <w:div w:id="179395325">
      <w:bodyDiv w:val="1"/>
      <w:marLeft w:val="0"/>
      <w:marRight w:val="0"/>
      <w:marTop w:val="0"/>
      <w:marBottom w:val="0"/>
      <w:divBdr>
        <w:top w:val="none" w:sz="0" w:space="0" w:color="auto"/>
        <w:left w:val="none" w:sz="0" w:space="0" w:color="auto"/>
        <w:bottom w:val="none" w:sz="0" w:space="0" w:color="auto"/>
        <w:right w:val="none" w:sz="0" w:space="0" w:color="auto"/>
      </w:divBdr>
    </w:div>
    <w:div w:id="179663936">
      <w:bodyDiv w:val="1"/>
      <w:marLeft w:val="0"/>
      <w:marRight w:val="0"/>
      <w:marTop w:val="0"/>
      <w:marBottom w:val="0"/>
      <w:divBdr>
        <w:top w:val="none" w:sz="0" w:space="0" w:color="auto"/>
        <w:left w:val="none" w:sz="0" w:space="0" w:color="auto"/>
        <w:bottom w:val="none" w:sz="0" w:space="0" w:color="auto"/>
        <w:right w:val="none" w:sz="0" w:space="0" w:color="auto"/>
      </w:divBdr>
    </w:div>
    <w:div w:id="179900926">
      <w:bodyDiv w:val="1"/>
      <w:marLeft w:val="0"/>
      <w:marRight w:val="0"/>
      <w:marTop w:val="0"/>
      <w:marBottom w:val="0"/>
      <w:divBdr>
        <w:top w:val="none" w:sz="0" w:space="0" w:color="auto"/>
        <w:left w:val="none" w:sz="0" w:space="0" w:color="auto"/>
        <w:bottom w:val="none" w:sz="0" w:space="0" w:color="auto"/>
        <w:right w:val="none" w:sz="0" w:space="0" w:color="auto"/>
      </w:divBdr>
    </w:div>
    <w:div w:id="181632926">
      <w:bodyDiv w:val="1"/>
      <w:marLeft w:val="0"/>
      <w:marRight w:val="0"/>
      <w:marTop w:val="0"/>
      <w:marBottom w:val="0"/>
      <w:divBdr>
        <w:top w:val="none" w:sz="0" w:space="0" w:color="auto"/>
        <w:left w:val="none" w:sz="0" w:space="0" w:color="auto"/>
        <w:bottom w:val="none" w:sz="0" w:space="0" w:color="auto"/>
        <w:right w:val="none" w:sz="0" w:space="0" w:color="auto"/>
      </w:divBdr>
    </w:div>
    <w:div w:id="187645460">
      <w:bodyDiv w:val="1"/>
      <w:marLeft w:val="0"/>
      <w:marRight w:val="0"/>
      <w:marTop w:val="0"/>
      <w:marBottom w:val="0"/>
      <w:divBdr>
        <w:top w:val="none" w:sz="0" w:space="0" w:color="auto"/>
        <w:left w:val="none" w:sz="0" w:space="0" w:color="auto"/>
        <w:bottom w:val="none" w:sz="0" w:space="0" w:color="auto"/>
        <w:right w:val="none" w:sz="0" w:space="0" w:color="auto"/>
      </w:divBdr>
    </w:div>
    <w:div w:id="191890192">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4656642">
      <w:bodyDiv w:val="1"/>
      <w:marLeft w:val="0"/>
      <w:marRight w:val="0"/>
      <w:marTop w:val="0"/>
      <w:marBottom w:val="0"/>
      <w:divBdr>
        <w:top w:val="none" w:sz="0" w:space="0" w:color="auto"/>
        <w:left w:val="none" w:sz="0" w:space="0" w:color="auto"/>
        <w:bottom w:val="none" w:sz="0" w:space="0" w:color="auto"/>
        <w:right w:val="none" w:sz="0" w:space="0" w:color="auto"/>
      </w:divBdr>
    </w:div>
    <w:div w:id="194735810">
      <w:bodyDiv w:val="1"/>
      <w:marLeft w:val="0"/>
      <w:marRight w:val="0"/>
      <w:marTop w:val="0"/>
      <w:marBottom w:val="0"/>
      <w:divBdr>
        <w:top w:val="none" w:sz="0" w:space="0" w:color="auto"/>
        <w:left w:val="none" w:sz="0" w:space="0" w:color="auto"/>
        <w:bottom w:val="none" w:sz="0" w:space="0" w:color="auto"/>
        <w:right w:val="none" w:sz="0" w:space="0" w:color="auto"/>
      </w:divBdr>
      <w:divsChild>
        <w:div w:id="752892198">
          <w:marLeft w:val="0"/>
          <w:marRight w:val="0"/>
          <w:marTop w:val="0"/>
          <w:marBottom w:val="0"/>
          <w:divBdr>
            <w:top w:val="none" w:sz="0" w:space="0" w:color="auto"/>
            <w:left w:val="none" w:sz="0" w:space="0" w:color="auto"/>
            <w:bottom w:val="none" w:sz="0" w:space="0" w:color="auto"/>
            <w:right w:val="none" w:sz="0" w:space="0" w:color="auto"/>
          </w:divBdr>
          <w:divsChild>
            <w:div w:id="210779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773">
      <w:bodyDiv w:val="1"/>
      <w:marLeft w:val="0"/>
      <w:marRight w:val="0"/>
      <w:marTop w:val="0"/>
      <w:marBottom w:val="0"/>
      <w:divBdr>
        <w:top w:val="none" w:sz="0" w:space="0" w:color="auto"/>
        <w:left w:val="none" w:sz="0" w:space="0" w:color="auto"/>
        <w:bottom w:val="none" w:sz="0" w:space="0" w:color="auto"/>
        <w:right w:val="none" w:sz="0" w:space="0" w:color="auto"/>
      </w:divBdr>
    </w:div>
    <w:div w:id="203713973">
      <w:bodyDiv w:val="1"/>
      <w:marLeft w:val="0"/>
      <w:marRight w:val="0"/>
      <w:marTop w:val="0"/>
      <w:marBottom w:val="0"/>
      <w:divBdr>
        <w:top w:val="none" w:sz="0" w:space="0" w:color="auto"/>
        <w:left w:val="none" w:sz="0" w:space="0" w:color="auto"/>
        <w:bottom w:val="none" w:sz="0" w:space="0" w:color="auto"/>
        <w:right w:val="none" w:sz="0" w:space="0" w:color="auto"/>
      </w:divBdr>
    </w:div>
    <w:div w:id="206256709">
      <w:bodyDiv w:val="1"/>
      <w:marLeft w:val="0"/>
      <w:marRight w:val="0"/>
      <w:marTop w:val="0"/>
      <w:marBottom w:val="0"/>
      <w:divBdr>
        <w:top w:val="none" w:sz="0" w:space="0" w:color="auto"/>
        <w:left w:val="none" w:sz="0" w:space="0" w:color="auto"/>
        <w:bottom w:val="none" w:sz="0" w:space="0" w:color="auto"/>
        <w:right w:val="none" w:sz="0" w:space="0" w:color="auto"/>
      </w:divBdr>
    </w:div>
    <w:div w:id="211041877">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045551">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16476110">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0047660">
      <w:bodyDiv w:val="1"/>
      <w:marLeft w:val="0"/>
      <w:marRight w:val="0"/>
      <w:marTop w:val="0"/>
      <w:marBottom w:val="0"/>
      <w:divBdr>
        <w:top w:val="none" w:sz="0" w:space="0" w:color="auto"/>
        <w:left w:val="none" w:sz="0" w:space="0" w:color="auto"/>
        <w:bottom w:val="none" w:sz="0" w:space="0" w:color="auto"/>
        <w:right w:val="none" w:sz="0" w:space="0" w:color="auto"/>
      </w:divBdr>
    </w:div>
    <w:div w:id="230778223">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4434576">
      <w:bodyDiv w:val="1"/>
      <w:marLeft w:val="0"/>
      <w:marRight w:val="0"/>
      <w:marTop w:val="0"/>
      <w:marBottom w:val="0"/>
      <w:divBdr>
        <w:top w:val="none" w:sz="0" w:space="0" w:color="auto"/>
        <w:left w:val="none" w:sz="0" w:space="0" w:color="auto"/>
        <w:bottom w:val="none" w:sz="0" w:space="0" w:color="auto"/>
        <w:right w:val="none" w:sz="0" w:space="0" w:color="auto"/>
      </w:divBdr>
    </w:div>
    <w:div w:id="238103978">
      <w:bodyDiv w:val="1"/>
      <w:marLeft w:val="0"/>
      <w:marRight w:val="0"/>
      <w:marTop w:val="0"/>
      <w:marBottom w:val="0"/>
      <w:divBdr>
        <w:top w:val="none" w:sz="0" w:space="0" w:color="auto"/>
        <w:left w:val="none" w:sz="0" w:space="0" w:color="auto"/>
        <w:bottom w:val="none" w:sz="0" w:space="0" w:color="auto"/>
        <w:right w:val="none" w:sz="0" w:space="0" w:color="auto"/>
      </w:divBdr>
    </w:div>
    <w:div w:id="244265862">
      <w:bodyDiv w:val="1"/>
      <w:marLeft w:val="0"/>
      <w:marRight w:val="0"/>
      <w:marTop w:val="0"/>
      <w:marBottom w:val="0"/>
      <w:divBdr>
        <w:top w:val="none" w:sz="0" w:space="0" w:color="auto"/>
        <w:left w:val="none" w:sz="0" w:space="0" w:color="auto"/>
        <w:bottom w:val="none" w:sz="0" w:space="0" w:color="auto"/>
        <w:right w:val="none" w:sz="0" w:space="0" w:color="auto"/>
      </w:divBdr>
    </w:div>
    <w:div w:id="244847364">
      <w:bodyDiv w:val="1"/>
      <w:marLeft w:val="0"/>
      <w:marRight w:val="0"/>
      <w:marTop w:val="0"/>
      <w:marBottom w:val="0"/>
      <w:divBdr>
        <w:top w:val="none" w:sz="0" w:space="0" w:color="auto"/>
        <w:left w:val="none" w:sz="0" w:space="0" w:color="auto"/>
        <w:bottom w:val="none" w:sz="0" w:space="0" w:color="auto"/>
        <w:right w:val="none" w:sz="0" w:space="0" w:color="auto"/>
      </w:divBdr>
    </w:div>
    <w:div w:id="25140191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61306361">
      <w:bodyDiv w:val="1"/>
      <w:marLeft w:val="0"/>
      <w:marRight w:val="0"/>
      <w:marTop w:val="0"/>
      <w:marBottom w:val="0"/>
      <w:divBdr>
        <w:top w:val="none" w:sz="0" w:space="0" w:color="auto"/>
        <w:left w:val="none" w:sz="0" w:space="0" w:color="auto"/>
        <w:bottom w:val="none" w:sz="0" w:space="0" w:color="auto"/>
        <w:right w:val="none" w:sz="0" w:space="0" w:color="auto"/>
      </w:divBdr>
    </w:div>
    <w:div w:id="261957842">
      <w:bodyDiv w:val="1"/>
      <w:marLeft w:val="0"/>
      <w:marRight w:val="0"/>
      <w:marTop w:val="0"/>
      <w:marBottom w:val="0"/>
      <w:divBdr>
        <w:top w:val="none" w:sz="0" w:space="0" w:color="auto"/>
        <w:left w:val="none" w:sz="0" w:space="0" w:color="auto"/>
        <w:bottom w:val="none" w:sz="0" w:space="0" w:color="auto"/>
        <w:right w:val="none" w:sz="0" w:space="0" w:color="auto"/>
      </w:divBdr>
    </w:div>
    <w:div w:id="262226178">
      <w:bodyDiv w:val="1"/>
      <w:marLeft w:val="0"/>
      <w:marRight w:val="0"/>
      <w:marTop w:val="0"/>
      <w:marBottom w:val="0"/>
      <w:divBdr>
        <w:top w:val="none" w:sz="0" w:space="0" w:color="auto"/>
        <w:left w:val="none" w:sz="0" w:space="0" w:color="auto"/>
        <w:bottom w:val="none" w:sz="0" w:space="0" w:color="auto"/>
        <w:right w:val="none" w:sz="0" w:space="0" w:color="auto"/>
      </w:divBdr>
    </w:div>
    <w:div w:id="267322273">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066018">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80041264">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2641517">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299313731">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03856672">
      <w:bodyDiv w:val="1"/>
      <w:marLeft w:val="0"/>
      <w:marRight w:val="0"/>
      <w:marTop w:val="0"/>
      <w:marBottom w:val="0"/>
      <w:divBdr>
        <w:top w:val="none" w:sz="0" w:space="0" w:color="auto"/>
        <w:left w:val="none" w:sz="0" w:space="0" w:color="auto"/>
        <w:bottom w:val="none" w:sz="0" w:space="0" w:color="auto"/>
        <w:right w:val="none" w:sz="0" w:space="0" w:color="auto"/>
      </w:divBdr>
    </w:div>
    <w:div w:id="307632415">
      <w:bodyDiv w:val="1"/>
      <w:marLeft w:val="0"/>
      <w:marRight w:val="0"/>
      <w:marTop w:val="0"/>
      <w:marBottom w:val="0"/>
      <w:divBdr>
        <w:top w:val="none" w:sz="0" w:space="0" w:color="auto"/>
        <w:left w:val="none" w:sz="0" w:space="0" w:color="auto"/>
        <w:bottom w:val="none" w:sz="0" w:space="0" w:color="auto"/>
        <w:right w:val="none" w:sz="0" w:space="0" w:color="auto"/>
      </w:divBdr>
    </w:div>
    <w:div w:id="309752333">
      <w:bodyDiv w:val="1"/>
      <w:marLeft w:val="0"/>
      <w:marRight w:val="0"/>
      <w:marTop w:val="0"/>
      <w:marBottom w:val="0"/>
      <w:divBdr>
        <w:top w:val="none" w:sz="0" w:space="0" w:color="auto"/>
        <w:left w:val="none" w:sz="0" w:space="0" w:color="auto"/>
        <w:bottom w:val="none" w:sz="0" w:space="0" w:color="auto"/>
        <w:right w:val="none" w:sz="0" w:space="0" w:color="auto"/>
      </w:divBdr>
    </w:div>
    <w:div w:id="315182706">
      <w:bodyDiv w:val="1"/>
      <w:marLeft w:val="0"/>
      <w:marRight w:val="0"/>
      <w:marTop w:val="0"/>
      <w:marBottom w:val="0"/>
      <w:divBdr>
        <w:top w:val="none" w:sz="0" w:space="0" w:color="auto"/>
        <w:left w:val="none" w:sz="0" w:space="0" w:color="auto"/>
        <w:bottom w:val="none" w:sz="0" w:space="0" w:color="auto"/>
        <w:right w:val="none" w:sz="0" w:space="0" w:color="auto"/>
      </w:divBdr>
    </w:div>
    <w:div w:id="316374196">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7442410">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4428239">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5797067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69570492">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482741123">
          <w:marLeft w:val="1699"/>
          <w:marRight w:val="0"/>
          <w:marTop w:val="120"/>
          <w:marBottom w:val="0"/>
          <w:divBdr>
            <w:top w:val="none" w:sz="0" w:space="0" w:color="auto"/>
            <w:left w:val="none" w:sz="0" w:space="0" w:color="auto"/>
            <w:bottom w:val="none" w:sz="0" w:space="0" w:color="auto"/>
            <w:right w:val="none" w:sz="0" w:space="0" w:color="auto"/>
          </w:divBdr>
        </w:div>
        <w:div w:id="609820315">
          <w:marLeft w:val="1267"/>
          <w:marRight w:val="0"/>
          <w:marTop w:val="18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547687">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80977139">
      <w:bodyDiv w:val="1"/>
      <w:marLeft w:val="0"/>
      <w:marRight w:val="0"/>
      <w:marTop w:val="0"/>
      <w:marBottom w:val="0"/>
      <w:divBdr>
        <w:top w:val="none" w:sz="0" w:space="0" w:color="auto"/>
        <w:left w:val="none" w:sz="0" w:space="0" w:color="auto"/>
        <w:bottom w:val="none" w:sz="0" w:space="0" w:color="auto"/>
        <w:right w:val="none" w:sz="0" w:space="0" w:color="auto"/>
      </w:divBdr>
    </w:div>
    <w:div w:id="384335637">
      <w:bodyDiv w:val="1"/>
      <w:marLeft w:val="0"/>
      <w:marRight w:val="0"/>
      <w:marTop w:val="0"/>
      <w:marBottom w:val="0"/>
      <w:divBdr>
        <w:top w:val="none" w:sz="0" w:space="0" w:color="auto"/>
        <w:left w:val="none" w:sz="0" w:space="0" w:color="auto"/>
        <w:bottom w:val="none" w:sz="0" w:space="0" w:color="auto"/>
        <w:right w:val="none" w:sz="0" w:space="0" w:color="auto"/>
      </w:divBdr>
    </w:div>
    <w:div w:id="388456670">
      <w:bodyDiv w:val="1"/>
      <w:marLeft w:val="0"/>
      <w:marRight w:val="0"/>
      <w:marTop w:val="0"/>
      <w:marBottom w:val="0"/>
      <w:divBdr>
        <w:top w:val="none" w:sz="0" w:space="0" w:color="auto"/>
        <w:left w:val="none" w:sz="0" w:space="0" w:color="auto"/>
        <w:bottom w:val="none" w:sz="0" w:space="0" w:color="auto"/>
        <w:right w:val="none" w:sz="0" w:space="0" w:color="auto"/>
      </w:divBdr>
    </w:div>
    <w:div w:id="388767806">
      <w:bodyDiv w:val="1"/>
      <w:marLeft w:val="0"/>
      <w:marRight w:val="0"/>
      <w:marTop w:val="0"/>
      <w:marBottom w:val="0"/>
      <w:divBdr>
        <w:top w:val="none" w:sz="0" w:space="0" w:color="auto"/>
        <w:left w:val="none" w:sz="0" w:space="0" w:color="auto"/>
        <w:bottom w:val="none" w:sz="0" w:space="0" w:color="auto"/>
        <w:right w:val="none" w:sz="0" w:space="0" w:color="auto"/>
      </w:divBdr>
    </w:div>
    <w:div w:id="39146311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1298388">
      <w:bodyDiv w:val="1"/>
      <w:marLeft w:val="0"/>
      <w:marRight w:val="0"/>
      <w:marTop w:val="0"/>
      <w:marBottom w:val="0"/>
      <w:divBdr>
        <w:top w:val="none" w:sz="0" w:space="0" w:color="auto"/>
        <w:left w:val="none" w:sz="0" w:space="0" w:color="auto"/>
        <w:bottom w:val="none" w:sz="0" w:space="0" w:color="auto"/>
        <w:right w:val="none" w:sz="0" w:space="0" w:color="auto"/>
      </w:divBdr>
    </w:div>
    <w:div w:id="403185457">
      <w:bodyDiv w:val="1"/>
      <w:marLeft w:val="0"/>
      <w:marRight w:val="0"/>
      <w:marTop w:val="0"/>
      <w:marBottom w:val="0"/>
      <w:divBdr>
        <w:top w:val="none" w:sz="0" w:space="0" w:color="auto"/>
        <w:left w:val="none" w:sz="0" w:space="0" w:color="auto"/>
        <w:bottom w:val="none" w:sz="0" w:space="0" w:color="auto"/>
        <w:right w:val="none" w:sz="0" w:space="0" w:color="auto"/>
      </w:divBdr>
    </w:div>
    <w:div w:id="40680443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2411265">
      <w:bodyDiv w:val="1"/>
      <w:marLeft w:val="0"/>
      <w:marRight w:val="0"/>
      <w:marTop w:val="0"/>
      <w:marBottom w:val="0"/>
      <w:divBdr>
        <w:top w:val="none" w:sz="0" w:space="0" w:color="auto"/>
        <w:left w:val="none" w:sz="0" w:space="0" w:color="auto"/>
        <w:bottom w:val="none" w:sz="0" w:space="0" w:color="auto"/>
        <w:right w:val="none" w:sz="0" w:space="0" w:color="auto"/>
      </w:divBdr>
    </w:div>
    <w:div w:id="423691043">
      <w:bodyDiv w:val="1"/>
      <w:marLeft w:val="0"/>
      <w:marRight w:val="0"/>
      <w:marTop w:val="0"/>
      <w:marBottom w:val="0"/>
      <w:divBdr>
        <w:top w:val="none" w:sz="0" w:space="0" w:color="auto"/>
        <w:left w:val="none" w:sz="0" w:space="0" w:color="auto"/>
        <w:bottom w:val="none" w:sz="0" w:space="0" w:color="auto"/>
        <w:right w:val="none" w:sz="0" w:space="0" w:color="auto"/>
      </w:divBdr>
    </w:div>
    <w:div w:id="424308657">
      <w:bodyDiv w:val="1"/>
      <w:marLeft w:val="0"/>
      <w:marRight w:val="0"/>
      <w:marTop w:val="0"/>
      <w:marBottom w:val="0"/>
      <w:divBdr>
        <w:top w:val="none" w:sz="0" w:space="0" w:color="auto"/>
        <w:left w:val="none" w:sz="0" w:space="0" w:color="auto"/>
        <w:bottom w:val="none" w:sz="0" w:space="0" w:color="auto"/>
        <w:right w:val="none" w:sz="0" w:space="0" w:color="auto"/>
      </w:divBdr>
    </w:div>
    <w:div w:id="429351382">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4642924">
      <w:bodyDiv w:val="1"/>
      <w:marLeft w:val="0"/>
      <w:marRight w:val="0"/>
      <w:marTop w:val="0"/>
      <w:marBottom w:val="0"/>
      <w:divBdr>
        <w:top w:val="none" w:sz="0" w:space="0" w:color="auto"/>
        <w:left w:val="none" w:sz="0" w:space="0" w:color="auto"/>
        <w:bottom w:val="none" w:sz="0" w:space="0" w:color="auto"/>
        <w:right w:val="none" w:sz="0" w:space="0" w:color="auto"/>
      </w:divBdr>
    </w:div>
    <w:div w:id="436145284">
      <w:bodyDiv w:val="1"/>
      <w:marLeft w:val="0"/>
      <w:marRight w:val="0"/>
      <w:marTop w:val="0"/>
      <w:marBottom w:val="0"/>
      <w:divBdr>
        <w:top w:val="none" w:sz="0" w:space="0" w:color="auto"/>
        <w:left w:val="none" w:sz="0" w:space="0" w:color="auto"/>
        <w:bottom w:val="none" w:sz="0" w:space="0" w:color="auto"/>
        <w:right w:val="none" w:sz="0" w:space="0" w:color="auto"/>
      </w:divBdr>
    </w:div>
    <w:div w:id="440413496">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0436991">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53594976">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794182718">
          <w:marLeft w:val="1267"/>
          <w:marRight w:val="0"/>
          <w:marTop w:val="180"/>
          <w:marBottom w:val="0"/>
          <w:divBdr>
            <w:top w:val="none" w:sz="0" w:space="0" w:color="auto"/>
            <w:left w:val="none" w:sz="0" w:space="0" w:color="auto"/>
            <w:bottom w:val="none" w:sz="0" w:space="0" w:color="auto"/>
            <w:right w:val="none" w:sz="0" w:space="0" w:color="auto"/>
          </w:divBdr>
        </w:div>
        <w:div w:id="860819979">
          <w:marLeft w:val="432"/>
          <w:marRight w:val="0"/>
          <w:marTop w:val="24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sChild>
    </w:div>
    <w:div w:id="473791024">
      <w:bodyDiv w:val="1"/>
      <w:marLeft w:val="0"/>
      <w:marRight w:val="0"/>
      <w:marTop w:val="0"/>
      <w:marBottom w:val="0"/>
      <w:divBdr>
        <w:top w:val="none" w:sz="0" w:space="0" w:color="auto"/>
        <w:left w:val="none" w:sz="0" w:space="0" w:color="auto"/>
        <w:bottom w:val="none" w:sz="0" w:space="0" w:color="auto"/>
        <w:right w:val="none" w:sz="0" w:space="0" w:color="auto"/>
      </w:divBdr>
    </w:div>
    <w:div w:id="475031488">
      <w:bodyDiv w:val="1"/>
      <w:marLeft w:val="0"/>
      <w:marRight w:val="0"/>
      <w:marTop w:val="0"/>
      <w:marBottom w:val="0"/>
      <w:divBdr>
        <w:top w:val="none" w:sz="0" w:space="0" w:color="auto"/>
        <w:left w:val="none" w:sz="0" w:space="0" w:color="auto"/>
        <w:bottom w:val="none" w:sz="0" w:space="0" w:color="auto"/>
        <w:right w:val="none" w:sz="0" w:space="0" w:color="auto"/>
      </w:divBdr>
    </w:div>
    <w:div w:id="475034091">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9908471">
      <w:bodyDiv w:val="1"/>
      <w:marLeft w:val="0"/>
      <w:marRight w:val="0"/>
      <w:marTop w:val="0"/>
      <w:marBottom w:val="0"/>
      <w:divBdr>
        <w:top w:val="none" w:sz="0" w:space="0" w:color="auto"/>
        <w:left w:val="none" w:sz="0" w:space="0" w:color="auto"/>
        <w:bottom w:val="none" w:sz="0" w:space="0" w:color="auto"/>
        <w:right w:val="none" w:sz="0" w:space="0" w:color="auto"/>
      </w:divBdr>
    </w:div>
    <w:div w:id="492991010">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38071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2940062">
      <w:bodyDiv w:val="1"/>
      <w:marLeft w:val="0"/>
      <w:marRight w:val="0"/>
      <w:marTop w:val="0"/>
      <w:marBottom w:val="0"/>
      <w:divBdr>
        <w:top w:val="none" w:sz="0" w:space="0" w:color="auto"/>
        <w:left w:val="none" w:sz="0" w:space="0" w:color="auto"/>
        <w:bottom w:val="none" w:sz="0" w:space="0" w:color="auto"/>
        <w:right w:val="none" w:sz="0" w:space="0" w:color="auto"/>
      </w:divBdr>
    </w:div>
    <w:div w:id="503127515">
      <w:bodyDiv w:val="1"/>
      <w:marLeft w:val="0"/>
      <w:marRight w:val="0"/>
      <w:marTop w:val="0"/>
      <w:marBottom w:val="0"/>
      <w:divBdr>
        <w:top w:val="none" w:sz="0" w:space="0" w:color="auto"/>
        <w:left w:val="none" w:sz="0" w:space="0" w:color="auto"/>
        <w:bottom w:val="none" w:sz="0" w:space="0" w:color="auto"/>
        <w:right w:val="none" w:sz="0" w:space="0" w:color="auto"/>
      </w:divBdr>
    </w:div>
    <w:div w:id="504320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5775183">
      <w:bodyDiv w:val="1"/>
      <w:marLeft w:val="0"/>
      <w:marRight w:val="0"/>
      <w:marTop w:val="0"/>
      <w:marBottom w:val="0"/>
      <w:divBdr>
        <w:top w:val="none" w:sz="0" w:space="0" w:color="auto"/>
        <w:left w:val="none" w:sz="0" w:space="0" w:color="auto"/>
        <w:bottom w:val="none" w:sz="0" w:space="0" w:color="auto"/>
        <w:right w:val="none" w:sz="0" w:space="0" w:color="auto"/>
      </w:divBdr>
    </w:div>
    <w:div w:id="516383358">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3229994">
      <w:bodyDiv w:val="1"/>
      <w:marLeft w:val="0"/>
      <w:marRight w:val="0"/>
      <w:marTop w:val="0"/>
      <w:marBottom w:val="0"/>
      <w:divBdr>
        <w:top w:val="none" w:sz="0" w:space="0" w:color="auto"/>
        <w:left w:val="none" w:sz="0" w:space="0" w:color="auto"/>
        <w:bottom w:val="none" w:sz="0" w:space="0" w:color="auto"/>
        <w:right w:val="none" w:sz="0" w:space="0" w:color="auto"/>
      </w:divBdr>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37594210">
      <w:bodyDiv w:val="1"/>
      <w:marLeft w:val="0"/>
      <w:marRight w:val="0"/>
      <w:marTop w:val="0"/>
      <w:marBottom w:val="0"/>
      <w:divBdr>
        <w:top w:val="none" w:sz="0" w:space="0" w:color="auto"/>
        <w:left w:val="none" w:sz="0" w:space="0" w:color="auto"/>
        <w:bottom w:val="none" w:sz="0" w:space="0" w:color="auto"/>
        <w:right w:val="none" w:sz="0" w:space="0" w:color="auto"/>
      </w:divBdr>
    </w:div>
    <w:div w:id="542522336">
      <w:bodyDiv w:val="1"/>
      <w:marLeft w:val="0"/>
      <w:marRight w:val="0"/>
      <w:marTop w:val="0"/>
      <w:marBottom w:val="0"/>
      <w:divBdr>
        <w:top w:val="none" w:sz="0" w:space="0" w:color="auto"/>
        <w:left w:val="none" w:sz="0" w:space="0" w:color="auto"/>
        <w:bottom w:val="none" w:sz="0" w:space="0" w:color="auto"/>
        <w:right w:val="none" w:sz="0" w:space="0" w:color="auto"/>
      </w:divBdr>
    </w:div>
    <w:div w:id="544102865">
      <w:bodyDiv w:val="1"/>
      <w:marLeft w:val="0"/>
      <w:marRight w:val="0"/>
      <w:marTop w:val="0"/>
      <w:marBottom w:val="0"/>
      <w:divBdr>
        <w:top w:val="none" w:sz="0" w:space="0" w:color="auto"/>
        <w:left w:val="none" w:sz="0" w:space="0" w:color="auto"/>
        <w:bottom w:val="none" w:sz="0" w:space="0" w:color="auto"/>
        <w:right w:val="none" w:sz="0" w:space="0" w:color="auto"/>
      </w:divBdr>
    </w:div>
    <w:div w:id="546185185">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1307356">
      <w:bodyDiv w:val="1"/>
      <w:marLeft w:val="0"/>
      <w:marRight w:val="0"/>
      <w:marTop w:val="0"/>
      <w:marBottom w:val="0"/>
      <w:divBdr>
        <w:top w:val="none" w:sz="0" w:space="0" w:color="auto"/>
        <w:left w:val="none" w:sz="0" w:space="0" w:color="auto"/>
        <w:bottom w:val="none" w:sz="0" w:space="0" w:color="auto"/>
        <w:right w:val="none" w:sz="0" w:space="0" w:color="auto"/>
      </w:divBdr>
    </w:div>
    <w:div w:id="552540659">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101660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2348533">
      <w:bodyDiv w:val="1"/>
      <w:marLeft w:val="0"/>
      <w:marRight w:val="0"/>
      <w:marTop w:val="0"/>
      <w:marBottom w:val="0"/>
      <w:divBdr>
        <w:top w:val="none" w:sz="0" w:space="0" w:color="auto"/>
        <w:left w:val="none" w:sz="0" w:space="0" w:color="auto"/>
        <w:bottom w:val="none" w:sz="0" w:space="0" w:color="auto"/>
        <w:right w:val="none" w:sz="0" w:space="0" w:color="auto"/>
      </w:divBdr>
    </w:div>
    <w:div w:id="574054911">
      <w:bodyDiv w:val="1"/>
      <w:marLeft w:val="0"/>
      <w:marRight w:val="0"/>
      <w:marTop w:val="0"/>
      <w:marBottom w:val="0"/>
      <w:divBdr>
        <w:top w:val="none" w:sz="0" w:space="0" w:color="auto"/>
        <w:left w:val="none" w:sz="0" w:space="0" w:color="auto"/>
        <w:bottom w:val="none" w:sz="0" w:space="0" w:color="auto"/>
        <w:right w:val="none" w:sz="0" w:space="0" w:color="auto"/>
      </w:divBdr>
    </w:div>
    <w:div w:id="582908884">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88589151">
      <w:bodyDiv w:val="1"/>
      <w:marLeft w:val="0"/>
      <w:marRight w:val="0"/>
      <w:marTop w:val="0"/>
      <w:marBottom w:val="0"/>
      <w:divBdr>
        <w:top w:val="none" w:sz="0" w:space="0" w:color="auto"/>
        <w:left w:val="none" w:sz="0" w:space="0" w:color="auto"/>
        <w:bottom w:val="none" w:sz="0" w:space="0" w:color="auto"/>
        <w:right w:val="none" w:sz="0" w:space="0" w:color="auto"/>
      </w:divBdr>
    </w:div>
    <w:div w:id="593901869">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0726046">
      <w:bodyDiv w:val="1"/>
      <w:marLeft w:val="0"/>
      <w:marRight w:val="0"/>
      <w:marTop w:val="0"/>
      <w:marBottom w:val="0"/>
      <w:divBdr>
        <w:top w:val="none" w:sz="0" w:space="0" w:color="auto"/>
        <w:left w:val="none" w:sz="0" w:space="0" w:color="auto"/>
        <w:bottom w:val="none" w:sz="0" w:space="0" w:color="auto"/>
        <w:right w:val="none" w:sz="0" w:space="0" w:color="auto"/>
      </w:divBdr>
    </w:div>
    <w:div w:id="600794634">
      <w:bodyDiv w:val="1"/>
      <w:marLeft w:val="0"/>
      <w:marRight w:val="0"/>
      <w:marTop w:val="0"/>
      <w:marBottom w:val="0"/>
      <w:divBdr>
        <w:top w:val="none" w:sz="0" w:space="0" w:color="auto"/>
        <w:left w:val="none" w:sz="0" w:space="0" w:color="auto"/>
        <w:bottom w:val="none" w:sz="0" w:space="0" w:color="auto"/>
        <w:right w:val="none" w:sz="0" w:space="0" w:color="auto"/>
      </w:divBdr>
    </w:div>
    <w:div w:id="601450591">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6254112">
      <w:bodyDiv w:val="1"/>
      <w:marLeft w:val="0"/>
      <w:marRight w:val="0"/>
      <w:marTop w:val="0"/>
      <w:marBottom w:val="0"/>
      <w:divBdr>
        <w:top w:val="none" w:sz="0" w:space="0" w:color="auto"/>
        <w:left w:val="none" w:sz="0" w:space="0" w:color="auto"/>
        <w:bottom w:val="none" w:sz="0" w:space="0" w:color="auto"/>
        <w:right w:val="none" w:sz="0" w:space="0" w:color="auto"/>
      </w:divBdr>
      <w:divsChild>
        <w:div w:id="1463420629">
          <w:marLeft w:val="0"/>
          <w:marRight w:val="0"/>
          <w:marTop w:val="0"/>
          <w:marBottom w:val="0"/>
          <w:divBdr>
            <w:top w:val="none" w:sz="0" w:space="0" w:color="auto"/>
            <w:left w:val="none" w:sz="0" w:space="0" w:color="auto"/>
            <w:bottom w:val="none" w:sz="0" w:space="0" w:color="auto"/>
            <w:right w:val="none" w:sz="0" w:space="0" w:color="auto"/>
          </w:divBdr>
          <w:divsChild>
            <w:div w:id="54591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692500">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1640062">
      <w:bodyDiv w:val="1"/>
      <w:marLeft w:val="0"/>
      <w:marRight w:val="0"/>
      <w:marTop w:val="0"/>
      <w:marBottom w:val="0"/>
      <w:divBdr>
        <w:top w:val="none" w:sz="0" w:space="0" w:color="auto"/>
        <w:left w:val="none" w:sz="0" w:space="0" w:color="auto"/>
        <w:bottom w:val="none" w:sz="0" w:space="0" w:color="auto"/>
        <w:right w:val="none" w:sz="0" w:space="0" w:color="auto"/>
      </w:divBdr>
    </w:div>
    <w:div w:id="632098251">
      <w:bodyDiv w:val="1"/>
      <w:marLeft w:val="0"/>
      <w:marRight w:val="0"/>
      <w:marTop w:val="0"/>
      <w:marBottom w:val="0"/>
      <w:divBdr>
        <w:top w:val="none" w:sz="0" w:space="0" w:color="auto"/>
        <w:left w:val="none" w:sz="0" w:space="0" w:color="auto"/>
        <w:bottom w:val="none" w:sz="0" w:space="0" w:color="auto"/>
        <w:right w:val="none" w:sz="0" w:space="0" w:color="auto"/>
      </w:divBdr>
    </w:div>
    <w:div w:id="636030622">
      <w:bodyDiv w:val="1"/>
      <w:marLeft w:val="0"/>
      <w:marRight w:val="0"/>
      <w:marTop w:val="0"/>
      <w:marBottom w:val="0"/>
      <w:divBdr>
        <w:top w:val="none" w:sz="0" w:space="0" w:color="auto"/>
        <w:left w:val="none" w:sz="0" w:space="0" w:color="auto"/>
        <w:bottom w:val="none" w:sz="0" w:space="0" w:color="auto"/>
        <w:right w:val="none" w:sz="0" w:space="0" w:color="auto"/>
      </w:divBdr>
    </w:div>
    <w:div w:id="636377923">
      <w:bodyDiv w:val="1"/>
      <w:marLeft w:val="0"/>
      <w:marRight w:val="0"/>
      <w:marTop w:val="0"/>
      <w:marBottom w:val="0"/>
      <w:divBdr>
        <w:top w:val="none" w:sz="0" w:space="0" w:color="auto"/>
        <w:left w:val="none" w:sz="0" w:space="0" w:color="auto"/>
        <w:bottom w:val="none" w:sz="0" w:space="0" w:color="auto"/>
        <w:right w:val="none" w:sz="0" w:space="0" w:color="auto"/>
      </w:divBdr>
    </w:div>
    <w:div w:id="637611104">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3630423">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896318">
      <w:bodyDiv w:val="1"/>
      <w:marLeft w:val="0"/>
      <w:marRight w:val="0"/>
      <w:marTop w:val="0"/>
      <w:marBottom w:val="0"/>
      <w:divBdr>
        <w:top w:val="none" w:sz="0" w:space="0" w:color="auto"/>
        <w:left w:val="none" w:sz="0" w:space="0" w:color="auto"/>
        <w:bottom w:val="none" w:sz="0" w:space="0" w:color="auto"/>
        <w:right w:val="none" w:sz="0" w:space="0" w:color="auto"/>
      </w:divBdr>
    </w:div>
    <w:div w:id="645936117">
      <w:bodyDiv w:val="1"/>
      <w:marLeft w:val="0"/>
      <w:marRight w:val="0"/>
      <w:marTop w:val="0"/>
      <w:marBottom w:val="0"/>
      <w:divBdr>
        <w:top w:val="none" w:sz="0" w:space="0" w:color="auto"/>
        <w:left w:val="none" w:sz="0" w:space="0" w:color="auto"/>
        <w:bottom w:val="none" w:sz="0" w:space="0" w:color="auto"/>
        <w:right w:val="none" w:sz="0" w:space="0" w:color="auto"/>
      </w:divBdr>
    </w:div>
    <w:div w:id="650597642">
      <w:bodyDiv w:val="1"/>
      <w:marLeft w:val="0"/>
      <w:marRight w:val="0"/>
      <w:marTop w:val="0"/>
      <w:marBottom w:val="0"/>
      <w:divBdr>
        <w:top w:val="none" w:sz="0" w:space="0" w:color="auto"/>
        <w:left w:val="none" w:sz="0" w:space="0" w:color="auto"/>
        <w:bottom w:val="none" w:sz="0" w:space="0" w:color="auto"/>
        <w:right w:val="none" w:sz="0" w:space="0" w:color="auto"/>
      </w:divBdr>
    </w:div>
    <w:div w:id="655568171">
      <w:bodyDiv w:val="1"/>
      <w:marLeft w:val="0"/>
      <w:marRight w:val="0"/>
      <w:marTop w:val="0"/>
      <w:marBottom w:val="0"/>
      <w:divBdr>
        <w:top w:val="none" w:sz="0" w:space="0" w:color="auto"/>
        <w:left w:val="none" w:sz="0" w:space="0" w:color="auto"/>
        <w:bottom w:val="none" w:sz="0" w:space="0" w:color="auto"/>
        <w:right w:val="none" w:sz="0" w:space="0" w:color="auto"/>
      </w:divBdr>
    </w:div>
    <w:div w:id="662126573">
      <w:bodyDiv w:val="1"/>
      <w:marLeft w:val="0"/>
      <w:marRight w:val="0"/>
      <w:marTop w:val="0"/>
      <w:marBottom w:val="0"/>
      <w:divBdr>
        <w:top w:val="none" w:sz="0" w:space="0" w:color="auto"/>
        <w:left w:val="none" w:sz="0" w:space="0" w:color="auto"/>
        <w:bottom w:val="none" w:sz="0" w:space="0" w:color="auto"/>
        <w:right w:val="none" w:sz="0" w:space="0" w:color="auto"/>
      </w:divBdr>
    </w:div>
    <w:div w:id="664279729">
      <w:bodyDiv w:val="1"/>
      <w:marLeft w:val="0"/>
      <w:marRight w:val="0"/>
      <w:marTop w:val="0"/>
      <w:marBottom w:val="0"/>
      <w:divBdr>
        <w:top w:val="none" w:sz="0" w:space="0" w:color="auto"/>
        <w:left w:val="none" w:sz="0" w:space="0" w:color="auto"/>
        <w:bottom w:val="none" w:sz="0" w:space="0" w:color="auto"/>
        <w:right w:val="none" w:sz="0" w:space="0" w:color="auto"/>
      </w:divBdr>
    </w:div>
    <w:div w:id="664480899">
      <w:bodyDiv w:val="1"/>
      <w:marLeft w:val="0"/>
      <w:marRight w:val="0"/>
      <w:marTop w:val="0"/>
      <w:marBottom w:val="0"/>
      <w:divBdr>
        <w:top w:val="none" w:sz="0" w:space="0" w:color="auto"/>
        <w:left w:val="none" w:sz="0" w:space="0" w:color="auto"/>
        <w:bottom w:val="none" w:sz="0" w:space="0" w:color="auto"/>
        <w:right w:val="none" w:sz="0" w:space="0" w:color="auto"/>
      </w:divBdr>
    </w:div>
    <w:div w:id="675226520">
      <w:bodyDiv w:val="1"/>
      <w:marLeft w:val="0"/>
      <w:marRight w:val="0"/>
      <w:marTop w:val="0"/>
      <w:marBottom w:val="0"/>
      <w:divBdr>
        <w:top w:val="none" w:sz="0" w:space="0" w:color="auto"/>
        <w:left w:val="none" w:sz="0" w:space="0" w:color="auto"/>
        <w:bottom w:val="none" w:sz="0" w:space="0" w:color="auto"/>
        <w:right w:val="none" w:sz="0" w:space="0" w:color="auto"/>
      </w:divBdr>
    </w:div>
    <w:div w:id="676344446">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89843441">
      <w:bodyDiv w:val="1"/>
      <w:marLeft w:val="0"/>
      <w:marRight w:val="0"/>
      <w:marTop w:val="0"/>
      <w:marBottom w:val="0"/>
      <w:divBdr>
        <w:top w:val="none" w:sz="0" w:space="0" w:color="auto"/>
        <w:left w:val="none" w:sz="0" w:space="0" w:color="auto"/>
        <w:bottom w:val="none" w:sz="0" w:space="0" w:color="auto"/>
        <w:right w:val="none" w:sz="0" w:space="0" w:color="auto"/>
      </w:divBdr>
    </w:div>
    <w:div w:id="691152222">
      <w:bodyDiv w:val="1"/>
      <w:marLeft w:val="0"/>
      <w:marRight w:val="0"/>
      <w:marTop w:val="0"/>
      <w:marBottom w:val="0"/>
      <w:divBdr>
        <w:top w:val="none" w:sz="0" w:space="0" w:color="auto"/>
        <w:left w:val="none" w:sz="0" w:space="0" w:color="auto"/>
        <w:bottom w:val="none" w:sz="0" w:space="0" w:color="auto"/>
        <w:right w:val="none" w:sz="0" w:space="0" w:color="auto"/>
      </w:divBdr>
    </w:div>
    <w:div w:id="691734508">
      <w:bodyDiv w:val="1"/>
      <w:marLeft w:val="0"/>
      <w:marRight w:val="0"/>
      <w:marTop w:val="0"/>
      <w:marBottom w:val="0"/>
      <w:divBdr>
        <w:top w:val="none" w:sz="0" w:space="0" w:color="auto"/>
        <w:left w:val="none" w:sz="0" w:space="0" w:color="auto"/>
        <w:bottom w:val="none" w:sz="0" w:space="0" w:color="auto"/>
        <w:right w:val="none" w:sz="0" w:space="0" w:color="auto"/>
      </w:divBdr>
    </w:div>
    <w:div w:id="694690699">
      <w:bodyDiv w:val="1"/>
      <w:marLeft w:val="0"/>
      <w:marRight w:val="0"/>
      <w:marTop w:val="0"/>
      <w:marBottom w:val="0"/>
      <w:divBdr>
        <w:top w:val="none" w:sz="0" w:space="0" w:color="auto"/>
        <w:left w:val="none" w:sz="0" w:space="0" w:color="auto"/>
        <w:bottom w:val="none" w:sz="0" w:space="0" w:color="auto"/>
        <w:right w:val="none" w:sz="0" w:space="0" w:color="auto"/>
      </w:divBdr>
    </w:div>
    <w:div w:id="701710646">
      <w:bodyDiv w:val="1"/>
      <w:marLeft w:val="0"/>
      <w:marRight w:val="0"/>
      <w:marTop w:val="0"/>
      <w:marBottom w:val="0"/>
      <w:divBdr>
        <w:top w:val="none" w:sz="0" w:space="0" w:color="auto"/>
        <w:left w:val="none" w:sz="0" w:space="0" w:color="auto"/>
        <w:bottom w:val="none" w:sz="0" w:space="0" w:color="auto"/>
        <w:right w:val="none" w:sz="0" w:space="0" w:color="auto"/>
      </w:divBdr>
    </w:div>
    <w:div w:id="702823560">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16591867">
      <w:bodyDiv w:val="1"/>
      <w:marLeft w:val="0"/>
      <w:marRight w:val="0"/>
      <w:marTop w:val="0"/>
      <w:marBottom w:val="0"/>
      <w:divBdr>
        <w:top w:val="none" w:sz="0" w:space="0" w:color="auto"/>
        <w:left w:val="none" w:sz="0" w:space="0" w:color="auto"/>
        <w:bottom w:val="none" w:sz="0" w:space="0" w:color="auto"/>
        <w:right w:val="none" w:sz="0" w:space="0" w:color="auto"/>
      </w:divBdr>
    </w:div>
    <w:div w:id="718820700">
      <w:bodyDiv w:val="1"/>
      <w:marLeft w:val="0"/>
      <w:marRight w:val="0"/>
      <w:marTop w:val="0"/>
      <w:marBottom w:val="0"/>
      <w:divBdr>
        <w:top w:val="none" w:sz="0" w:space="0" w:color="auto"/>
        <w:left w:val="none" w:sz="0" w:space="0" w:color="auto"/>
        <w:bottom w:val="none" w:sz="0" w:space="0" w:color="auto"/>
        <w:right w:val="none" w:sz="0" w:space="0" w:color="auto"/>
      </w:divBdr>
    </w:div>
    <w:div w:id="723602161">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34351427">
      <w:bodyDiv w:val="1"/>
      <w:marLeft w:val="0"/>
      <w:marRight w:val="0"/>
      <w:marTop w:val="0"/>
      <w:marBottom w:val="0"/>
      <w:divBdr>
        <w:top w:val="none" w:sz="0" w:space="0" w:color="auto"/>
        <w:left w:val="none" w:sz="0" w:space="0" w:color="auto"/>
        <w:bottom w:val="none" w:sz="0" w:space="0" w:color="auto"/>
        <w:right w:val="none" w:sz="0" w:space="0" w:color="auto"/>
      </w:divBdr>
    </w:div>
    <w:div w:id="743769403">
      <w:bodyDiv w:val="1"/>
      <w:marLeft w:val="0"/>
      <w:marRight w:val="0"/>
      <w:marTop w:val="0"/>
      <w:marBottom w:val="0"/>
      <w:divBdr>
        <w:top w:val="none" w:sz="0" w:space="0" w:color="auto"/>
        <w:left w:val="none" w:sz="0" w:space="0" w:color="auto"/>
        <w:bottom w:val="none" w:sz="0" w:space="0" w:color="auto"/>
        <w:right w:val="none" w:sz="0" w:space="0" w:color="auto"/>
      </w:divBdr>
    </w:div>
    <w:div w:id="744844514">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014344">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3647429">
      <w:bodyDiv w:val="1"/>
      <w:marLeft w:val="0"/>
      <w:marRight w:val="0"/>
      <w:marTop w:val="0"/>
      <w:marBottom w:val="0"/>
      <w:divBdr>
        <w:top w:val="none" w:sz="0" w:space="0" w:color="auto"/>
        <w:left w:val="none" w:sz="0" w:space="0" w:color="auto"/>
        <w:bottom w:val="none" w:sz="0" w:space="0" w:color="auto"/>
        <w:right w:val="none" w:sz="0" w:space="0" w:color="auto"/>
      </w:divBdr>
    </w:div>
    <w:div w:id="769394048">
      <w:bodyDiv w:val="1"/>
      <w:marLeft w:val="0"/>
      <w:marRight w:val="0"/>
      <w:marTop w:val="0"/>
      <w:marBottom w:val="0"/>
      <w:divBdr>
        <w:top w:val="none" w:sz="0" w:space="0" w:color="auto"/>
        <w:left w:val="none" w:sz="0" w:space="0" w:color="auto"/>
        <w:bottom w:val="none" w:sz="0" w:space="0" w:color="auto"/>
        <w:right w:val="none" w:sz="0" w:space="0" w:color="auto"/>
      </w:divBdr>
    </w:div>
    <w:div w:id="788743215">
      <w:bodyDiv w:val="1"/>
      <w:marLeft w:val="0"/>
      <w:marRight w:val="0"/>
      <w:marTop w:val="0"/>
      <w:marBottom w:val="0"/>
      <w:divBdr>
        <w:top w:val="none" w:sz="0" w:space="0" w:color="auto"/>
        <w:left w:val="none" w:sz="0" w:space="0" w:color="auto"/>
        <w:bottom w:val="none" w:sz="0" w:space="0" w:color="auto"/>
        <w:right w:val="none" w:sz="0" w:space="0" w:color="auto"/>
      </w:divBdr>
    </w:div>
    <w:div w:id="789015887">
      <w:bodyDiv w:val="1"/>
      <w:marLeft w:val="0"/>
      <w:marRight w:val="0"/>
      <w:marTop w:val="0"/>
      <w:marBottom w:val="0"/>
      <w:divBdr>
        <w:top w:val="none" w:sz="0" w:space="0" w:color="auto"/>
        <w:left w:val="none" w:sz="0" w:space="0" w:color="auto"/>
        <w:bottom w:val="none" w:sz="0" w:space="0" w:color="auto"/>
        <w:right w:val="none" w:sz="0" w:space="0" w:color="auto"/>
      </w:divBdr>
    </w:div>
    <w:div w:id="790321728">
      <w:bodyDiv w:val="1"/>
      <w:marLeft w:val="0"/>
      <w:marRight w:val="0"/>
      <w:marTop w:val="0"/>
      <w:marBottom w:val="0"/>
      <w:divBdr>
        <w:top w:val="none" w:sz="0" w:space="0" w:color="auto"/>
        <w:left w:val="none" w:sz="0" w:space="0" w:color="auto"/>
        <w:bottom w:val="none" w:sz="0" w:space="0" w:color="auto"/>
        <w:right w:val="none" w:sz="0" w:space="0" w:color="auto"/>
      </w:divBdr>
    </w:div>
    <w:div w:id="791440017">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799420732">
      <w:bodyDiv w:val="1"/>
      <w:marLeft w:val="0"/>
      <w:marRight w:val="0"/>
      <w:marTop w:val="0"/>
      <w:marBottom w:val="0"/>
      <w:divBdr>
        <w:top w:val="none" w:sz="0" w:space="0" w:color="auto"/>
        <w:left w:val="none" w:sz="0" w:space="0" w:color="auto"/>
        <w:bottom w:val="none" w:sz="0" w:space="0" w:color="auto"/>
        <w:right w:val="none" w:sz="0" w:space="0" w:color="auto"/>
      </w:divBdr>
    </w:div>
    <w:div w:id="801575062">
      <w:bodyDiv w:val="1"/>
      <w:marLeft w:val="0"/>
      <w:marRight w:val="0"/>
      <w:marTop w:val="0"/>
      <w:marBottom w:val="0"/>
      <w:divBdr>
        <w:top w:val="none" w:sz="0" w:space="0" w:color="auto"/>
        <w:left w:val="none" w:sz="0" w:space="0" w:color="auto"/>
        <w:bottom w:val="none" w:sz="0" w:space="0" w:color="auto"/>
        <w:right w:val="none" w:sz="0" w:space="0" w:color="auto"/>
      </w:divBdr>
    </w:div>
    <w:div w:id="804465277">
      <w:bodyDiv w:val="1"/>
      <w:marLeft w:val="0"/>
      <w:marRight w:val="0"/>
      <w:marTop w:val="0"/>
      <w:marBottom w:val="0"/>
      <w:divBdr>
        <w:top w:val="none" w:sz="0" w:space="0" w:color="auto"/>
        <w:left w:val="none" w:sz="0" w:space="0" w:color="auto"/>
        <w:bottom w:val="none" w:sz="0" w:space="0" w:color="auto"/>
        <w:right w:val="none" w:sz="0" w:space="0" w:color="auto"/>
      </w:divBdr>
    </w:div>
    <w:div w:id="805514644">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267331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19078368">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2181368">
      <w:bodyDiv w:val="1"/>
      <w:marLeft w:val="0"/>
      <w:marRight w:val="0"/>
      <w:marTop w:val="0"/>
      <w:marBottom w:val="0"/>
      <w:divBdr>
        <w:top w:val="none" w:sz="0" w:space="0" w:color="auto"/>
        <w:left w:val="none" w:sz="0" w:space="0" w:color="auto"/>
        <w:bottom w:val="none" w:sz="0" w:space="0" w:color="auto"/>
        <w:right w:val="none" w:sz="0" w:space="0" w:color="auto"/>
      </w:divBdr>
    </w:div>
    <w:div w:id="832574998">
      <w:bodyDiv w:val="1"/>
      <w:marLeft w:val="0"/>
      <w:marRight w:val="0"/>
      <w:marTop w:val="0"/>
      <w:marBottom w:val="0"/>
      <w:divBdr>
        <w:top w:val="none" w:sz="0" w:space="0" w:color="auto"/>
        <w:left w:val="none" w:sz="0" w:space="0" w:color="auto"/>
        <w:bottom w:val="none" w:sz="0" w:space="0" w:color="auto"/>
        <w:right w:val="none" w:sz="0" w:space="0" w:color="auto"/>
      </w:divBdr>
    </w:div>
    <w:div w:id="833649186">
      <w:bodyDiv w:val="1"/>
      <w:marLeft w:val="0"/>
      <w:marRight w:val="0"/>
      <w:marTop w:val="0"/>
      <w:marBottom w:val="0"/>
      <w:divBdr>
        <w:top w:val="none" w:sz="0" w:space="0" w:color="auto"/>
        <w:left w:val="none" w:sz="0" w:space="0" w:color="auto"/>
        <w:bottom w:val="none" w:sz="0" w:space="0" w:color="auto"/>
        <w:right w:val="none" w:sz="0" w:space="0" w:color="auto"/>
      </w:divBdr>
    </w:div>
    <w:div w:id="834107559">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46014916">
      <w:bodyDiv w:val="1"/>
      <w:marLeft w:val="0"/>
      <w:marRight w:val="0"/>
      <w:marTop w:val="0"/>
      <w:marBottom w:val="0"/>
      <w:divBdr>
        <w:top w:val="none" w:sz="0" w:space="0" w:color="auto"/>
        <w:left w:val="none" w:sz="0" w:space="0" w:color="auto"/>
        <w:bottom w:val="none" w:sz="0" w:space="0" w:color="auto"/>
        <w:right w:val="none" w:sz="0" w:space="0" w:color="auto"/>
      </w:divBdr>
    </w:div>
    <w:div w:id="850679671">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08270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667337">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68880795">
      <w:bodyDiv w:val="1"/>
      <w:marLeft w:val="0"/>
      <w:marRight w:val="0"/>
      <w:marTop w:val="0"/>
      <w:marBottom w:val="0"/>
      <w:divBdr>
        <w:top w:val="none" w:sz="0" w:space="0" w:color="auto"/>
        <w:left w:val="none" w:sz="0" w:space="0" w:color="auto"/>
        <w:bottom w:val="none" w:sz="0" w:space="0" w:color="auto"/>
        <w:right w:val="none" w:sz="0" w:space="0" w:color="auto"/>
      </w:divBdr>
    </w:div>
    <w:div w:id="873729994">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76283439">
      <w:bodyDiv w:val="1"/>
      <w:marLeft w:val="0"/>
      <w:marRight w:val="0"/>
      <w:marTop w:val="0"/>
      <w:marBottom w:val="0"/>
      <w:divBdr>
        <w:top w:val="none" w:sz="0" w:space="0" w:color="auto"/>
        <w:left w:val="none" w:sz="0" w:space="0" w:color="auto"/>
        <w:bottom w:val="none" w:sz="0" w:space="0" w:color="auto"/>
        <w:right w:val="none" w:sz="0" w:space="0" w:color="auto"/>
      </w:divBdr>
    </w:div>
    <w:div w:id="879706034">
      <w:bodyDiv w:val="1"/>
      <w:marLeft w:val="0"/>
      <w:marRight w:val="0"/>
      <w:marTop w:val="0"/>
      <w:marBottom w:val="0"/>
      <w:divBdr>
        <w:top w:val="none" w:sz="0" w:space="0" w:color="auto"/>
        <w:left w:val="none" w:sz="0" w:space="0" w:color="auto"/>
        <w:bottom w:val="none" w:sz="0" w:space="0" w:color="auto"/>
        <w:right w:val="none" w:sz="0" w:space="0" w:color="auto"/>
      </w:divBdr>
    </w:div>
    <w:div w:id="881478386">
      <w:bodyDiv w:val="1"/>
      <w:marLeft w:val="0"/>
      <w:marRight w:val="0"/>
      <w:marTop w:val="0"/>
      <w:marBottom w:val="0"/>
      <w:divBdr>
        <w:top w:val="none" w:sz="0" w:space="0" w:color="auto"/>
        <w:left w:val="none" w:sz="0" w:space="0" w:color="auto"/>
        <w:bottom w:val="none" w:sz="0" w:space="0" w:color="auto"/>
        <w:right w:val="none" w:sz="0" w:space="0" w:color="auto"/>
      </w:divBdr>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88154913">
      <w:bodyDiv w:val="1"/>
      <w:marLeft w:val="0"/>
      <w:marRight w:val="0"/>
      <w:marTop w:val="0"/>
      <w:marBottom w:val="0"/>
      <w:divBdr>
        <w:top w:val="none" w:sz="0" w:space="0" w:color="auto"/>
        <w:left w:val="none" w:sz="0" w:space="0" w:color="auto"/>
        <w:bottom w:val="none" w:sz="0" w:space="0" w:color="auto"/>
        <w:right w:val="none" w:sz="0" w:space="0" w:color="auto"/>
      </w:divBdr>
    </w:div>
    <w:div w:id="89104464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899248488">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07808351">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19370773">
      <w:bodyDiv w:val="1"/>
      <w:marLeft w:val="0"/>
      <w:marRight w:val="0"/>
      <w:marTop w:val="0"/>
      <w:marBottom w:val="0"/>
      <w:divBdr>
        <w:top w:val="none" w:sz="0" w:space="0" w:color="auto"/>
        <w:left w:val="none" w:sz="0" w:space="0" w:color="auto"/>
        <w:bottom w:val="none" w:sz="0" w:space="0" w:color="auto"/>
        <w:right w:val="none" w:sz="0" w:space="0" w:color="auto"/>
      </w:divBdr>
      <w:divsChild>
        <w:div w:id="484971960">
          <w:marLeft w:val="0"/>
          <w:marRight w:val="0"/>
          <w:marTop w:val="0"/>
          <w:marBottom w:val="0"/>
          <w:divBdr>
            <w:top w:val="none" w:sz="0" w:space="0" w:color="auto"/>
            <w:left w:val="none" w:sz="0" w:space="0" w:color="auto"/>
            <w:bottom w:val="none" w:sz="0" w:space="0" w:color="auto"/>
            <w:right w:val="none" w:sz="0" w:space="0" w:color="auto"/>
          </w:divBdr>
          <w:divsChild>
            <w:div w:id="2779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357733">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3392924">
      <w:bodyDiv w:val="1"/>
      <w:marLeft w:val="0"/>
      <w:marRight w:val="0"/>
      <w:marTop w:val="0"/>
      <w:marBottom w:val="0"/>
      <w:divBdr>
        <w:top w:val="none" w:sz="0" w:space="0" w:color="auto"/>
        <w:left w:val="none" w:sz="0" w:space="0" w:color="auto"/>
        <w:bottom w:val="none" w:sz="0" w:space="0" w:color="auto"/>
        <w:right w:val="none" w:sz="0" w:space="0" w:color="auto"/>
      </w:divBdr>
    </w:div>
    <w:div w:id="940186545">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4995014">
      <w:bodyDiv w:val="1"/>
      <w:marLeft w:val="0"/>
      <w:marRight w:val="0"/>
      <w:marTop w:val="0"/>
      <w:marBottom w:val="0"/>
      <w:divBdr>
        <w:top w:val="none" w:sz="0" w:space="0" w:color="auto"/>
        <w:left w:val="none" w:sz="0" w:space="0" w:color="auto"/>
        <w:bottom w:val="none" w:sz="0" w:space="0" w:color="auto"/>
        <w:right w:val="none" w:sz="0" w:space="0" w:color="auto"/>
      </w:divBdr>
      <w:divsChild>
        <w:div w:id="1348294397">
          <w:marLeft w:val="0"/>
          <w:marRight w:val="0"/>
          <w:marTop w:val="0"/>
          <w:marBottom w:val="0"/>
          <w:divBdr>
            <w:top w:val="none" w:sz="0" w:space="0" w:color="auto"/>
            <w:left w:val="none" w:sz="0" w:space="0" w:color="auto"/>
            <w:bottom w:val="none" w:sz="0" w:space="0" w:color="auto"/>
            <w:right w:val="none" w:sz="0" w:space="0" w:color="auto"/>
          </w:divBdr>
          <w:divsChild>
            <w:div w:id="20917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47733959">
      <w:bodyDiv w:val="1"/>
      <w:marLeft w:val="0"/>
      <w:marRight w:val="0"/>
      <w:marTop w:val="0"/>
      <w:marBottom w:val="0"/>
      <w:divBdr>
        <w:top w:val="none" w:sz="0" w:space="0" w:color="auto"/>
        <w:left w:val="none" w:sz="0" w:space="0" w:color="auto"/>
        <w:bottom w:val="none" w:sz="0" w:space="0" w:color="auto"/>
        <w:right w:val="none" w:sz="0" w:space="0" w:color="auto"/>
      </w:divBdr>
    </w:div>
    <w:div w:id="95074229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0575477">
      <w:bodyDiv w:val="1"/>
      <w:marLeft w:val="0"/>
      <w:marRight w:val="0"/>
      <w:marTop w:val="0"/>
      <w:marBottom w:val="0"/>
      <w:divBdr>
        <w:top w:val="none" w:sz="0" w:space="0" w:color="auto"/>
        <w:left w:val="none" w:sz="0" w:space="0" w:color="auto"/>
        <w:bottom w:val="none" w:sz="0" w:space="0" w:color="auto"/>
        <w:right w:val="none" w:sz="0" w:space="0" w:color="auto"/>
      </w:divBdr>
      <w:divsChild>
        <w:div w:id="2086148586">
          <w:marLeft w:val="432"/>
          <w:marRight w:val="0"/>
          <w:marTop w:val="240"/>
          <w:marBottom w:val="0"/>
          <w:divBdr>
            <w:top w:val="none" w:sz="0" w:space="0" w:color="auto"/>
            <w:left w:val="none" w:sz="0" w:space="0" w:color="auto"/>
            <w:bottom w:val="none" w:sz="0" w:space="0" w:color="auto"/>
            <w:right w:val="none" w:sz="0" w:space="0" w:color="auto"/>
          </w:divBdr>
        </w:div>
        <w:div w:id="22287066">
          <w:marLeft w:val="850"/>
          <w:marRight w:val="0"/>
          <w:marTop w:val="180"/>
          <w:marBottom w:val="0"/>
          <w:divBdr>
            <w:top w:val="none" w:sz="0" w:space="0" w:color="auto"/>
            <w:left w:val="none" w:sz="0" w:space="0" w:color="auto"/>
            <w:bottom w:val="none" w:sz="0" w:space="0" w:color="auto"/>
            <w:right w:val="none" w:sz="0" w:space="0" w:color="auto"/>
          </w:divBdr>
        </w:div>
        <w:div w:id="261230165">
          <w:marLeft w:val="1123"/>
          <w:marRight w:val="0"/>
          <w:marTop w:val="120"/>
          <w:marBottom w:val="0"/>
          <w:divBdr>
            <w:top w:val="none" w:sz="0" w:space="0" w:color="auto"/>
            <w:left w:val="none" w:sz="0" w:space="0" w:color="auto"/>
            <w:bottom w:val="none" w:sz="0" w:space="0" w:color="auto"/>
            <w:right w:val="none" w:sz="0" w:space="0" w:color="auto"/>
          </w:divBdr>
        </w:div>
        <w:div w:id="1393626412">
          <w:marLeft w:val="850"/>
          <w:marRight w:val="0"/>
          <w:marTop w:val="180"/>
          <w:marBottom w:val="0"/>
          <w:divBdr>
            <w:top w:val="none" w:sz="0" w:space="0" w:color="auto"/>
            <w:left w:val="none" w:sz="0" w:space="0" w:color="auto"/>
            <w:bottom w:val="none" w:sz="0" w:space="0" w:color="auto"/>
            <w:right w:val="none" w:sz="0" w:space="0" w:color="auto"/>
          </w:divBdr>
        </w:div>
        <w:div w:id="860123137">
          <w:marLeft w:val="1123"/>
          <w:marRight w:val="0"/>
          <w:marTop w:val="120"/>
          <w:marBottom w:val="0"/>
          <w:divBdr>
            <w:top w:val="none" w:sz="0" w:space="0" w:color="auto"/>
            <w:left w:val="none" w:sz="0" w:space="0" w:color="auto"/>
            <w:bottom w:val="none" w:sz="0" w:space="0" w:color="auto"/>
            <w:right w:val="none" w:sz="0" w:space="0" w:color="auto"/>
          </w:divBdr>
        </w:div>
        <w:div w:id="626660572">
          <w:marLeft w:val="432"/>
          <w:marRight w:val="0"/>
          <w:marTop w:val="240"/>
          <w:marBottom w:val="0"/>
          <w:divBdr>
            <w:top w:val="none" w:sz="0" w:space="0" w:color="auto"/>
            <w:left w:val="none" w:sz="0" w:space="0" w:color="auto"/>
            <w:bottom w:val="none" w:sz="0" w:space="0" w:color="auto"/>
            <w:right w:val="none" w:sz="0" w:space="0" w:color="auto"/>
          </w:divBdr>
        </w:div>
        <w:div w:id="1060639842">
          <w:marLeft w:val="850"/>
          <w:marRight w:val="0"/>
          <w:marTop w:val="180"/>
          <w:marBottom w:val="0"/>
          <w:divBdr>
            <w:top w:val="none" w:sz="0" w:space="0" w:color="auto"/>
            <w:left w:val="none" w:sz="0" w:space="0" w:color="auto"/>
            <w:bottom w:val="none" w:sz="0" w:space="0" w:color="auto"/>
            <w:right w:val="none" w:sz="0" w:space="0" w:color="auto"/>
          </w:divBdr>
        </w:div>
        <w:div w:id="1841115561">
          <w:marLeft w:val="1123"/>
          <w:marRight w:val="0"/>
          <w:marTop w:val="120"/>
          <w:marBottom w:val="0"/>
          <w:divBdr>
            <w:top w:val="none" w:sz="0" w:space="0" w:color="auto"/>
            <w:left w:val="none" w:sz="0" w:space="0" w:color="auto"/>
            <w:bottom w:val="none" w:sz="0" w:space="0" w:color="auto"/>
            <w:right w:val="none" w:sz="0" w:space="0" w:color="auto"/>
          </w:divBdr>
        </w:div>
        <w:div w:id="513030396">
          <w:marLeft w:val="850"/>
          <w:marRight w:val="0"/>
          <w:marTop w:val="180"/>
          <w:marBottom w:val="0"/>
          <w:divBdr>
            <w:top w:val="none" w:sz="0" w:space="0" w:color="auto"/>
            <w:left w:val="none" w:sz="0" w:space="0" w:color="auto"/>
            <w:bottom w:val="none" w:sz="0" w:space="0" w:color="auto"/>
            <w:right w:val="none" w:sz="0" w:space="0" w:color="auto"/>
          </w:divBdr>
        </w:div>
      </w:divsChild>
    </w:div>
    <w:div w:id="964314886">
      <w:bodyDiv w:val="1"/>
      <w:marLeft w:val="0"/>
      <w:marRight w:val="0"/>
      <w:marTop w:val="0"/>
      <w:marBottom w:val="0"/>
      <w:divBdr>
        <w:top w:val="none" w:sz="0" w:space="0" w:color="auto"/>
        <w:left w:val="none" w:sz="0" w:space="0" w:color="auto"/>
        <w:bottom w:val="none" w:sz="0" w:space="0" w:color="auto"/>
        <w:right w:val="none" w:sz="0" w:space="0" w:color="auto"/>
      </w:divBdr>
      <w:divsChild>
        <w:div w:id="314144361">
          <w:marLeft w:val="0"/>
          <w:marRight w:val="0"/>
          <w:marTop w:val="0"/>
          <w:marBottom w:val="0"/>
          <w:divBdr>
            <w:top w:val="none" w:sz="0" w:space="0" w:color="auto"/>
            <w:left w:val="none" w:sz="0" w:space="0" w:color="auto"/>
            <w:bottom w:val="none" w:sz="0" w:space="0" w:color="auto"/>
            <w:right w:val="none" w:sz="0" w:space="0" w:color="auto"/>
          </w:divBdr>
          <w:divsChild>
            <w:div w:id="1824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701402">
      <w:bodyDiv w:val="1"/>
      <w:marLeft w:val="0"/>
      <w:marRight w:val="0"/>
      <w:marTop w:val="0"/>
      <w:marBottom w:val="0"/>
      <w:divBdr>
        <w:top w:val="none" w:sz="0" w:space="0" w:color="auto"/>
        <w:left w:val="none" w:sz="0" w:space="0" w:color="auto"/>
        <w:bottom w:val="none" w:sz="0" w:space="0" w:color="auto"/>
        <w:right w:val="none" w:sz="0" w:space="0" w:color="auto"/>
      </w:divBdr>
    </w:div>
    <w:div w:id="965895682">
      <w:bodyDiv w:val="1"/>
      <w:marLeft w:val="0"/>
      <w:marRight w:val="0"/>
      <w:marTop w:val="0"/>
      <w:marBottom w:val="0"/>
      <w:divBdr>
        <w:top w:val="none" w:sz="0" w:space="0" w:color="auto"/>
        <w:left w:val="none" w:sz="0" w:space="0" w:color="auto"/>
        <w:bottom w:val="none" w:sz="0" w:space="0" w:color="auto"/>
        <w:right w:val="none" w:sz="0" w:space="0" w:color="auto"/>
      </w:divBdr>
    </w:div>
    <w:div w:id="966275295">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68432310">
      <w:bodyDiv w:val="1"/>
      <w:marLeft w:val="0"/>
      <w:marRight w:val="0"/>
      <w:marTop w:val="0"/>
      <w:marBottom w:val="0"/>
      <w:divBdr>
        <w:top w:val="none" w:sz="0" w:space="0" w:color="auto"/>
        <w:left w:val="none" w:sz="0" w:space="0" w:color="auto"/>
        <w:bottom w:val="none" w:sz="0" w:space="0" w:color="auto"/>
        <w:right w:val="none" w:sz="0" w:space="0" w:color="auto"/>
      </w:divBdr>
    </w:div>
    <w:div w:id="970212982">
      <w:bodyDiv w:val="1"/>
      <w:marLeft w:val="0"/>
      <w:marRight w:val="0"/>
      <w:marTop w:val="0"/>
      <w:marBottom w:val="0"/>
      <w:divBdr>
        <w:top w:val="none" w:sz="0" w:space="0" w:color="auto"/>
        <w:left w:val="none" w:sz="0" w:space="0" w:color="auto"/>
        <w:bottom w:val="none" w:sz="0" w:space="0" w:color="auto"/>
        <w:right w:val="none" w:sz="0" w:space="0" w:color="auto"/>
      </w:divBdr>
    </w:div>
    <w:div w:id="971331546">
      <w:bodyDiv w:val="1"/>
      <w:marLeft w:val="0"/>
      <w:marRight w:val="0"/>
      <w:marTop w:val="0"/>
      <w:marBottom w:val="0"/>
      <w:divBdr>
        <w:top w:val="none" w:sz="0" w:space="0" w:color="auto"/>
        <w:left w:val="none" w:sz="0" w:space="0" w:color="auto"/>
        <w:bottom w:val="none" w:sz="0" w:space="0" w:color="auto"/>
        <w:right w:val="none" w:sz="0" w:space="0" w:color="auto"/>
      </w:divBdr>
    </w:div>
    <w:div w:id="971979212">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76228170">
      <w:bodyDiv w:val="1"/>
      <w:marLeft w:val="0"/>
      <w:marRight w:val="0"/>
      <w:marTop w:val="0"/>
      <w:marBottom w:val="0"/>
      <w:divBdr>
        <w:top w:val="none" w:sz="0" w:space="0" w:color="auto"/>
        <w:left w:val="none" w:sz="0" w:space="0" w:color="auto"/>
        <w:bottom w:val="none" w:sz="0" w:space="0" w:color="auto"/>
        <w:right w:val="none" w:sz="0" w:space="0" w:color="auto"/>
      </w:divBdr>
    </w:div>
    <w:div w:id="982546244">
      <w:bodyDiv w:val="1"/>
      <w:marLeft w:val="0"/>
      <w:marRight w:val="0"/>
      <w:marTop w:val="0"/>
      <w:marBottom w:val="0"/>
      <w:divBdr>
        <w:top w:val="none" w:sz="0" w:space="0" w:color="auto"/>
        <w:left w:val="none" w:sz="0" w:space="0" w:color="auto"/>
        <w:bottom w:val="none" w:sz="0" w:space="0" w:color="auto"/>
        <w:right w:val="none" w:sz="0" w:space="0" w:color="auto"/>
      </w:divBdr>
    </w:div>
    <w:div w:id="983700456">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88217568">
      <w:bodyDiv w:val="1"/>
      <w:marLeft w:val="0"/>
      <w:marRight w:val="0"/>
      <w:marTop w:val="0"/>
      <w:marBottom w:val="0"/>
      <w:divBdr>
        <w:top w:val="none" w:sz="0" w:space="0" w:color="auto"/>
        <w:left w:val="none" w:sz="0" w:space="0" w:color="auto"/>
        <w:bottom w:val="none" w:sz="0" w:space="0" w:color="auto"/>
        <w:right w:val="none" w:sz="0" w:space="0" w:color="auto"/>
      </w:divBdr>
    </w:div>
    <w:div w:id="989333470">
      <w:bodyDiv w:val="1"/>
      <w:marLeft w:val="0"/>
      <w:marRight w:val="0"/>
      <w:marTop w:val="0"/>
      <w:marBottom w:val="0"/>
      <w:divBdr>
        <w:top w:val="none" w:sz="0" w:space="0" w:color="auto"/>
        <w:left w:val="none" w:sz="0" w:space="0" w:color="auto"/>
        <w:bottom w:val="none" w:sz="0" w:space="0" w:color="auto"/>
        <w:right w:val="none" w:sz="0" w:space="0" w:color="auto"/>
      </w:divBdr>
    </w:div>
    <w:div w:id="991640773">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7265047">
      <w:bodyDiv w:val="1"/>
      <w:marLeft w:val="0"/>
      <w:marRight w:val="0"/>
      <w:marTop w:val="0"/>
      <w:marBottom w:val="0"/>
      <w:divBdr>
        <w:top w:val="none" w:sz="0" w:space="0" w:color="auto"/>
        <w:left w:val="none" w:sz="0" w:space="0" w:color="auto"/>
        <w:bottom w:val="none" w:sz="0" w:space="0" w:color="auto"/>
        <w:right w:val="none" w:sz="0" w:space="0" w:color="auto"/>
      </w:divBdr>
    </w:div>
    <w:div w:id="998271773">
      <w:bodyDiv w:val="1"/>
      <w:marLeft w:val="0"/>
      <w:marRight w:val="0"/>
      <w:marTop w:val="0"/>
      <w:marBottom w:val="0"/>
      <w:divBdr>
        <w:top w:val="none" w:sz="0" w:space="0" w:color="auto"/>
        <w:left w:val="none" w:sz="0" w:space="0" w:color="auto"/>
        <w:bottom w:val="none" w:sz="0" w:space="0" w:color="auto"/>
        <w:right w:val="none" w:sz="0" w:space="0" w:color="auto"/>
      </w:divBdr>
    </w:div>
    <w:div w:id="1002783216">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4892498">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489557">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17121926">
      <w:bodyDiv w:val="1"/>
      <w:marLeft w:val="0"/>
      <w:marRight w:val="0"/>
      <w:marTop w:val="0"/>
      <w:marBottom w:val="0"/>
      <w:divBdr>
        <w:top w:val="none" w:sz="0" w:space="0" w:color="auto"/>
        <w:left w:val="none" w:sz="0" w:space="0" w:color="auto"/>
        <w:bottom w:val="none" w:sz="0" w:space="0" w:color="auto"/>
        <w:right w:val="none" w:sz="0" w:space="0" w:color="auto"/>
      </w:divBdr>
    </w:div>
    <w:div w:id="1017463814">
      <w:bodyDiv w:val="1"/>
      <w:marLeft w:val="0"/>
      <w:marRight w:val="0"/>
      <w:marTop w:val="0"/>
      <w:marBottom w:val="0"/>
      <w:divBdr>
        <w:top w:val="none" w:sz="0" w:space="0" w:color="auto"/>
        <w:left w:val="none" w:sz="0" w:space="0" w:color="auto"/>
        <w:bottom w:val="none" w:sz="0" w:space="0" w:color="auto"/>
        <w:right w:val="none" w:sz="0" w:space="0" w:color="auto"/>
      </w:divBdr>
    </w:div>
    <w:div w:id="1020083578">
      <w:bodyDiv w:val="1"/>
      <w:marLeft w:val="0"/>
      <w:marRight w:val="0"/>
      <w:marTop w:val="0"/>
      <w:marBottom w:val="0"/>
      <w:divBdr>
        <w:top w:val="none" w:sz="0" w:space="0" w:color="auto"/>
        <w:left w:val="none" w:sz="0" w:space="0" w:color="auto"/>
        <w:bottom w:val="none" w:sz="0" w:space="0" w:color="auto"/>
        <w:right w:val="none" w:sz="0" w:space="0" w:color="auto"/>
      </w:divBdr>
    </w:div>
    <w:div w:id="1020545642">
      <w:bodyDiv w:val="1"/>
      <w:marLeft w:val="0"/>
      <w:marRight w:val="0"/>
      <w:marTop w:val="0"/>
      <w:marBottom w:val="0"/>
      <w:divBdr>
        <w:top w:val="none" w:sz="0" w:space="0" w:color="auto"/>
        <w:left w:val="none" w:sz="0" w:space="0" w:color="auto"/>
        <w:bottom w:val="none" w:sz="0" w:space="0" w:color="auto"/>
        <w:right w:val="none" w:sz="0" w:space="0" w:color="auto"/>
      </w:divBdr>
    </w:div>
    <w:div w:id="1027678640">
      <w:bodyDiv w:val="1"/>
      <w:marLeft w:val="0"/>
      <w:marRight w:val="0"/>
      <w:marTop w:val="0"/>
      <w:marBottom w:val="0"/>
      <w:divBdr>
        <w:top w:val="none" w:sz="0" w:space="0" w:color="auto"/>
        <w:left w:val="none" w:sz="0" w:space="0" w:color="auto"/>
        <w:bottom w:val="none" w:sz="0" w:space="0" w:color="auto"/>
        <w:right w:val="none" w:sz="0" w:space="0" w:color="auto"/>
      </w:divBdr>
    </w:div>
    <w:div w:id="1037971740">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3139059">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518334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49383051">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0859250">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082078">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4545583">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5229179">
      <w:bodyDiv w:val="1"/>
      <w:marLeft w:val="0"/>
      <w:marRight w:val="0"/>
      <w:marTop w:val="0"/>
      <w:marBottom w:val="0"/>
      <w:divBdr>
        <w:top w:val="none" w:sz="0" w:space="0" w:color="auto"/>
        <w:left w:val="none" w:sz="0" w:space="0" w:color="auto"/>
        <w:bottom w:val="none" w:sz="0" w:space="0" w:color="auto"/>
        <w:right w:val="none" w:sz="0" w:space="0" w:color="auto"/>
      </w:divBdr>
    </w:div>
    <w:div w:id="1088699184">
      <w:bodyDiv w:val="1"/>
      <w:marLeft w:val="0"/>
      <w:marRight w:val="0"/>
      <w:marTop w:val="0"/>
      <w:marBottom w:val="0"/>
      <w:divBdr>
        <w:top w:val="none" w:sz="0" w:space="0" w:color="auto"/>
        <w:left w:val="none" w:sz="0" w:space="0" w:color="auto"/>
        <w:bottom w:val="none" w:sz="0" w:space="0" w:color="auto"/>
        <w:right w:val="none" w:sz="0" w:space="0" w:color="auto"/>
      </w:divBdr>
    </w:div>
    <w:div w:id="1098136111">
      <w:bodyDiv w:val="1"/>
      <w:marLeft w:val="0"/>
      <w:marRight w:val="0"/>
      <w:marTop w:val="0"/>
      <w:marBottom w:val="0"/>
      <w:divBdr>
        <w:top w:val="none" w:sz="0" w:space="0" w:color="auto"/>
        <w:left w:val="none" w:sz="0" w:space="0" w:color="auto"/>
        <w:bottom w:val="none" w:sz="0" w:space="0" w:color="auto"/>
        <w:right w:val="none" w:sz="0" w:space="0" w:color="auto"/>
      </w:divBdr>
    </w:div>
    <w:div w:id="1114524372">
      <w:bodyDiv w:val="1"/>
      <w:marLeft w:val="0"/>
      <w:marRight w:val="0"/>
      <w:marTop w:val="0"/>
      <w:marBottom w:val="0"/>
      <w:divBdr>
        <w:top w:val="none" w:sz="0" w:space="0" w:color="auto"/>
        <w:left w:val="none" w:sz="0" w:space="0" w:color="auto"/>
        <w:bottom w:val="none" w:sz="0" w:space="0" w:color="auto"/>
        <w:right w:val="none" w:sz="0" w:space="0" w:color="auto"/>
      </w:divBdr>
    </w:div>
    <w:div w:id="1114637464">
      <w:bodyDiv w:val="1"/>
      <w:marLeft w:val="0"/>
      <w:marRight w:val="0"/>
      <w:marTop w:val="0"/>
      <w:marBottom w:val="0"/>
      <w:divBdr>
        <w:top w:val="none" w:sz="0" w:space="0" w:color="auto"/>
        <w:left w:val="none" w:sz="0" w:space="0" w:color="auto"/>
        <w:bottom w:val="none" w:sz="0" w:space="0" w:color="auto"/>
        <w:right w:val="none" w:sz="0" w:space="0" w:color="auto"/>
      </w:divBdr>
    </w:div>
    <w:div w:id="1116170774">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2846732">
      <w:bodyDiv w:val="1"/>
      <w:marLeft w:val="0"/>
      <w:marRight w:val="0"/>
      <w:marTop w:val="0"/>
      <w:marBottom w:val="0"/>
      <w:divBdr>
        <w:top w:val="none" w:sz="0" w:space="0" w:color="auto"/>
        <w:left w:val="none" w:sz="0" w:space="0" w:color="auto"/>
        <w:bottom w:val="none" w:sz="0" w:space="0" w:color="auto"/>
        <w:right w:val="none" w:sz="0" w:space="0" w:color="auto"/>
      </w:divBdr>
    </w:div>
    <w:div w:id="1124806394">
      <w:bodyDiv w:val="1"/>
      <w:marLeft w:val="0"/>
      <w:marRight w:val="0"/>
      <w:marTop w:val="0"/>
      <w:marBottom w:val="0"/>
      <w:divBdr>
        <w:top w:val="none" w:sz="0" w:space="0" w:color="auto"/>
        <w:left w:val="none" w:sz="0" w:space="0" w:color="auto"/>
        <w:bottom w:val="none" w:sz="0" w:space="0" w:color="auto"/>
        <w:right w:val="none" w:sz="0" w:space="0" w:color="auto"/>
      </w:divBdr>
    </w:div>
    <w:div w:id="1125270516">
      <w:bodyDiv w:val="1"/>
      <w:marLeft w:val="0"/>
      <w:marRight w:val="0"/>
      <w:marTop w:val="0"/>
      <w:marBottom w:val="0"/>
      <w:divBdr>
        <w:top w:val="none" w:sz="0" w:space="0" w:color="auto"/>
        <w:left w:val="none" w:sz="0" w:space="0" w:color="auto"/>
        <w:bottom w:val="none" w:sz="0" w:space="0" w:color="auto"/>
        <w:right w:val="none" w:sz="0" w:space="0" w:color="auto"/>
      </w:divBdr>
    </w:div>
    <w:div w:id="1125781338">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38766327">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0557483">
      <w:bodyDiv w:val="1"/>
      <w:marLeft w:val="0"/>
      <w:marRight w:val="0"/>
      <w:marTop w:val="0"/>
      <w:marBottom w:val="0"/>
      <w:divBdr>
        <w:top w:val="none" w:sz="0" w:space="0" w:color="auto"/>
        <w:left w:val="none" w:sz="0" w:space="0" w:color="auto"/>
        <w:bottom w:val="none" w:sz="0" w:space="0" w:color="auto"/>
        <w:right w:val="none" w:sz="0" w:space="0" w:color="auto"/>
      </w:divBdr>
    </w:div>
    <w:div w:id="115530079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59923677">
      <w:bodyDiv w:val="1"/>
      <w:marLeft w:val="0"/>
      <w:marRight w:val="0"/>
      <w:marTop w:val="0"/>
      <w:marBottom w:val="0"/>
      <w:divBdr>
        <w:top w:val="none" w:sz="0" w:space="0" w:color="auto"/>
        <w:left w:val="none" w:sz="0" w:space="0" w:color="auto"/>
        <w:bottom w:val="none" w:sz="0" w:space="0" w:color="auto"/>
        <w:right w:val="none" w:sz="0" w:space="0" w:color="auto"/>
      </w:divBdr>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64668761">
      <w:bodyDiv w:val="1"/>
      <w:marLeft w:val="0"/>
      <w:marRight w:val="0"/>
      <w:marTop w:val="0"/>
      <w:marBottom w:val="0"/>
      <w:divBdr>
        <w:top w:val="none" w:sz="0" w:space="0" w:color="auto"/>
        <w:left w:val="none" w:sz="0" w:space="0" w:color="auto"/>
        <w:bottom w:val="none" w:sz="0" w:space="0" w:color="auto"/>
        <w:right w:val="none" w:sz="0" w:space="0" w:color="auto"/>
      </w:divBdr>
    </w:div>
    <w:div w:id="1164854273">
      <w:bodyDiv w:val="1"/>
      <w:marLeft w:val="0"/>
      <w:marRight w:val="0"/>
      <w:marTop w:val="0"/>
      <w:marBottom w:val="0"/>
      <w:divBdr>
        <w:top w:val="none" w:sz="0" w:space="0" w:color="auto"/>
        <w:left w:val="none" w:sz="0" w:space="0" w:color="auto"/>
        <w:bottom w:val="none" w:sz="0" w:space="0" w:color="auto"/>
        <w:right w:val="none" w:sz="0" w:space="0" w:color="auto"/>
      </w:divBdr>
    </w:div>
    <w:div w:id="1173686538">
      <w:bodyDiv w:val="1"/>
      <w:marLeft w:val="0"/>
      <w:marRight w:val="0"/>
      <w:marTop w:val="0"/>
      <w:marBottom w:val="0"/>
      <w:divBdr>
        <w:top w:val="none" w:sz="0" w:space="0" w:color="auto"/>
        <w:left w:val="none" w:sz="0" w:space="0" w:color="auto"/>
        <w:bottom w:val="none" w:sz="0" w:space="0" w:color="auto"/>
        <w:right w:val="none" w:sz="0" w:space="0" w:color="auto"/>
      </w:divBdr>
    </w:div>
    <w:div w:id="1175461431">
      <w:bodyDiv w:val="1"/>
      <w:marLeft w:val="0"/>
      <w:marRight w:val="0"/>
      <w:marTop w:val="0"/>
      <w:marBottom w:val="0"/>
      <w:divBdr>
        <w:top w:val="none" w:sz="0" w:space="0" w:color="auto"/>
        <w:left w:val="none" w:sz="0" w:space="0" w:color="auto"/>
        <w:bottom w:val="none" w:sz="0" w:space="0" w:color="auto"/>
        <w:right w:val="none" w:sz="0" w:space="0" w:color="auto"/>
      </w:divBdr>
    </w:div>
    <w:div w:id="1176656009">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1815828">
      <w:bodyDiv w:val="1"/>
      <w:marLeft w:val="0"/>
      <w:marRight w:val="0"/>
      <w:marTop w:val="0"/>
      <w:marBottom w:val="0"/>
      <w:divBdr>
        <w:top w:val="none" w:sz="0" w:space="0" w:color="auto"/>
        <w:left w:val="none" w:sz="0" w:space="0" w:color="auto"/>
        <w:bottom w:val="none" w:sz="0" w:space="0" w:color="auto"/>
        <w:right w:val="none" w:sz="0" w:space="0" w:color="auto"/>
      </w:divBdr>
    </w:div>
    <w:div w:id="1183937711">
      <w:bodyDiv w:val="1"/>
      <w:marLeft w:val="0"/>
      <w:marRight w:val="0"/>
      <w:marTop w:val="0"/>
      <w:marBottom w:val="0"/>
      <w:divBdr>
        <w:top w:val="none" w:sz="0" w:space="0" w:color="auto"/>
        <w:left w:val="none" w:sz="0" w:space="0" w:color="auto"/>
        <w:bottom w:val="none" w:sz="0" w:space="0" w:color="auto"/>
        <w:right w:val="none" w:sz="0" w:space="0" w:color="auto"/>
      </w:divBdr>
    </w:div>
    <w:div w:id="1184975538">
      <w:bodyDiv w:val="1"/>
      <w:marLeft w:val="0"/>
      <w:marRight w:val="0"/>
      <w:marTop w:val="0"/>
      <w:marBottom w:val="0"/>
      <w:divBdr>
        <w:top w:val="none" w:sz="0" w:space="0" w:color="auto"/>
        <w:left w:val="none" w:sz="0" w:space="0" w:color="auto"/>
        <w:bottom w:val="none" w:sz="0" w:space="0" w:color="auto"/>
        <w:right w:val="none" w:sz="0" w:space="0" w:color="auto"/>
      </w:divBdr>
    </w:div>
    <w:div w:id="1186478078">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1165546">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10846941">
      <w:bodyDiv w:val="1"/>
      <w:marLeft w:val="0"/>
      <w:marRight w:val="0"/>
      <w:marTop w:val="0"/>
      <w:marBottom w:val="0"/>
      <w:divBdr>
        <w:top w:val="none" w:sz="0" w:space="0" w:color="auto"/>
        <w:left w:val="none" w:sz="0" w:space="0" w:color="auto"/>
        <w:bottom w:val="none" w:sz="0" w:space="0" w:color="auto"/>
        <w:right w:val="none" w:sz="0" w:space="0" w:color="auto"/>
      </w:divBdr>
    </w:div>
    <w:div w:id="1212497730">
      <w:bodyDiv w:val="1"/>
      <w:marLeft w:val="0"/>
      <w:marRight w:val="0"/>
      <w:marTop w:val="0"/>
      <w:marBottom w:val="0"/>
      <w:divBdr>
        <w:top w:val="none" w:sz="0" w:space="0" w:color="auto"/>
        <w:left w:val="none" w:sz="0" w:space="0" w:color="auto"/>
        <w:bottom w:val="none" w:sz="0" w:space="0" w:color="auto"/>
        <w:right w:val="none" w:sz="0" w:space="0" w:color="auto"/>
      </w:divBdr>
    </w:div>
    <w:div w:id="1212687422">
      <w:bodyDiv w:val="1"/>
      <w:marLeft w:val="0"/>
      <w:marRight w:val="0"/>
      <w:marTop w:val="0"/>
      <w:marBottom w:val="0"/>
      <w:divBdr>
        <w:top w:val="none" w:sz="0" w:space="0" w:color="auto"/>
        <w:left w:val="none" w:sz="0" w:space="0" w:color="auto"/>
        <w:bottom w:val="none" w:sz="0" w:space="0" w:color="auto"/>
        <w:right w:val="none" w:sz="0" w:space="0" w:color="auto"/>
      </w:divBdr>
    </w:div>
    <w:div w:id="1215039667">
      <w:bodyDiv w:val="1"/>
      <w:marLeft w:val="0"/>
      <w:marRight w:val="0"/>
      <w:marTop w:val="0"/>
      <w:marBottom w:val="0"/>
      <w:divBdr>
        <w:top w:val="none" w:sz="0" w:space="0" w:color="auto"/>
        <w:left w:val="none" w:sz="0" w:space="0" w:color="auto"/>
        <w:bottom w:val="none" w:sz="0" w:space="0" w:color="auto"/>
        <w:right w:val="none" w:sz="0" w:space="0" w:color="auto"/>
      </w:divBdr>
    </w:div>
    <w:div w:id="1225726137">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1189963">
      <w:bodyDiv w:val="1"/>
      <w:marLeft w:val="0"/>
      <w:marRight w:val="0"/>
      <w:marTop w:val="0"/>
      <w:marBottom w:val="0"/>
      <w:divBdr>
        <w:top w:val="none" w:sz="0" w:space="0" w:color="auto"/>
        <w:left w:val="none" w:sz="0" w:space="0" w:color="auto"/>
        <w:bottom w:val="none" w:sz="0" w:space="0" w:color="auto"/>
        <w:right w:val="none" w:sz="0" w:space="0" w:color="auto"/>
      </w:divBdr>
    </w:div>
    <w:div w:id="1232275887">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3274223">
      <w:bodyDiv w:val="1"/>
      <w:marLeft w:val="0"/>
      <w:marRight w:val="0"/>
      <w:marTop w:val="0"/>
      <w:marBottom w:val="0"/>
      <w:divBdr>
        <w:top w:val="none" w:sz="0" w:space="0" w:color="auto"/>
        <w:left w:val="none" w:sz="0" w:space="0" w:color="auto"/>
        <w:bottom w:val="none" w:sz="0" w:space="0" w:color="auto"/>
        <w:right w:val="none" w:sz="0" w:space="0" w:color="auto"/>
      </w:divBdr>
    </w:div>
    <w:div w:id="1233852889">
      <w:bodyDiv w:val="1"/>
      <w:marLeft w:val="0"/>
      <w:marRight w:val="0"/>
      <w:marTop w:val="0"/>
      <w:marBottom w:val="0"/>
      <w:divBdr>
        <w:top w:val="none" w:sz="0" w:space="0" w:color="auto"/>
        <w:left w:val="none" w:sz="0" w:space="0" w:color="auto"/>
        <w:bottom w:val="none" w:sz="0" w:space="0" w:color="auto"/>
        <w:right w:val="none" w:sz="0" w:space="0" w:color="auto"/>
      </w:divBdr>
    </w:div>
    <w:div w:id="1237983555">
      <w:bodyDiv w:val="1"/>
      <w:marLeft w:val="0"/>
      <w:marRight w:val="0"/>
      <w:marTop w:val="0"/>
      <w:marBottom w:val="0"/>
      <w:divBdr>
        <w:top w:val="none" w:sz="0" w:space="0" w:color="auto"/>
        <w:left w:val="none" w:sz="0" w:space="0" w:color="auto"/>
        <w:bottom w:val="none" w:sz="0" w:space="0" w:color="auto"/>
        <w:right w:val="none" w:sz="0" w:space="0" w:color="auto"/>
      </w:divBdr>
    </w:div>
    <w:div w:id="1238586791">
      <w:bodyDiv w:val="1"/>
      <w:marLeft w:val="0"/>
      <w:marRight w:val="0"/>
      <w:marTop w:val="0"/>
      <w:marBottom w:val="0"/>
      <w:divBdr>
        <w:top w:val="none" w:sz="0" w:space="0" w:color="auto"/>
        <w:left w:val="none" w:sz="0" w:space="0" w:color="auto"/>
        <w:bottom w:val="none" w:sz="0" w:space="0" w:color="auto"/>
        <w:right w:val="none" w:sz="0" w:space="0" w:color="auto"/>
      </w:divBdr>
    </w:div>
    <w:div w:id="1246453499">
      <w:bodyDiv w:val="1"/>
      <w:marLeft w:val="0"/>
      <w:marRight w:val="0"/>
      <w:marTop w:val="0"/>
      <w:marBottom w:val="0"/>
      <w:divBdr>
        <w:top w:val="none" w:sz="0" w:space="0" w:color="auto"/>
        <w:left w:val="none" w:sz="0" w:space="0" w:color="auto"/>
        <w:bottom w:val="none" w:sz="0" w:space="0" w:color="auto"/>
        <w:right w:val="none" w:sz="0" w:space="0" w:color="auto"/>
      </w:divBdr>
    </w:div>
    <w:div w:id="1248536384">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60985294">
      <w:bodyDiv w:val="1"/>
      <w:marLeft w:val="0"/>
      <w:marRight w:val="0"/>
      <w:marTop w:val="0"/>
      <w:marBottom w:val="0"/>
      <w:divBdr>
        <w:top w:val="none" w:sz="0" w:space="0" w:color="auto"/>
        <w:left w:val="none" w:sz="0" w:space="0" w:color="auto"/>
        <w:bottom w:val="none" w:sz="0" w:space="0" w:color="auto"/>
        <w:right w:val="none" w:sz="0" w:space="0" w:color="auto"/>
      </w:divBdr>
    </w:div>
    <w:div w:id="1263755657">
      <w:bodyDiv w:val="1"/>
      <w:marLeft w:val="0"/>
      <w:marRight w:val="0"/>
      <w:marTop w:val="0"/>
      <w:marBottom w:val="0"/>
      <w:divBdr>
        <w:top w:val="none" w:sz="0" w:space="0" w:color="auto"/>
        <w:left w:val="none" w:sz="0" w:space="0" w:color="auto"/>
        <w:bottom w:val="none" w:sz="0" w:space="0" w:color="auto"/>
        <w:right w:val="none" w:sz="0" w:space="0" w:color="auto"/>
      </w:divBdr>
    </w:div>
    <w:div w:id="1272397071">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7450422">
      <w:bodyDiv w:val="1"/>
      <w:marLeft w:val="0"/>
      <w:marRight w:val="0"/>
      <w:marTop w:val="0"/>
      <w:marBottom w:val="0"/>
      <w:divBdr>
        <w:top w:val="none" w:sz="0" w:space="0" w:color="auto"/>
        <w:left w:val="none" w:sz="0" w:space="0" w:color="auto"/>
        <w:bottom w:val="none" w:sz="0" w:space="0" w:color="auto"/>
        <w:right w:val="none" w:sz="0" w:space="0" w:color="auto"/>
      </w:divBdr>
    </w:div>
    <w:div w:id="1280604281">
      <w:bodyDiv w:val="1"/>
      <w:marLeft w:val="0"/>
      <w:marRight w:val="0"/>
      <w:marTop w:val="0"/>
      <w:marBottom w:val="0"/>
      <w:divBdr>
        <w:top w:val="none" w:sz="0" w:space="0" w:color="auto"/>
        <w:left w:val="none" w:sz="0" w:space="0" w:color="auto"/>
        <w:bottom w:val="none" w:sz="0" w:space="0" w:color="auto"/>
        <w:right w:val="none" w:sz="0" w:space="0" w:color="auto"/>
      </w:divBdr>
    </w:div>
    <w:div w:id="1285691295">
      <w:bodyDiv w:val="1"/>
      <w:marLeft w:val="0"/>
      <w:marRight w:val="0"/>
      <w:marTop w:val="0"/>
      <w:marBottom w:val="0"/>
      <w:divBdr>
        <w:top w:val="none" w:sz="0" w:space="0" w:color="auto"/>
        <w:left w:val="none" w:sz="0" w:space="0" w:color="auto"/>
        <w:bottom w:val="none" w:sz="0" w:space="0" w:color="auto"/>
        <w:right w:val="none" w:sz="0" w:space="0" w:color="auto"/>
      </w:divBdr>
    </w:div>
    <w:div w:id="1289120213">
      <w:bodyDiv w:val="1"/>
      <w:marLeft w:val="0"/>
      <w:marRight w:val="0"/>
      <w:marTop w:val="0"/>
      <w:marBottom w:val="0"/>
      <w:divBdr>
        <w:top w:val="none" w:sz="0" w:space="0" w:color="auto"/>
        <w:left w:val="none" w:sz="0" w:space="0" w:color="auto"/>
        <w:bottom w:val="none" w:sz="0" w:space="0" w:color="auto"/>
        <w:right w:val="none" w:sz="0" w:space="0" w:color="auto"/>
      </w:divBdr>
    </w:div>
    <w:div w:id="1297831609">
      <w:bodyDiv w:val="1"/>
      <w:marLeft w:val="0"/>
      <w:marRight w:val="0"/>
      <w:marTop w:val="0"/>
      <w:marBottom w:val="0"/>
      <w:divBdr>
        <w:top w:val="none" w:sz="0" w:space="0" w:color="auto"/>
        <w:left w:val="none" w:sz="0" w:space="0" w:color="auto"/>
        <w:bottom w:val="none" w:sz="0" w:space="0" w:color="auto"/>
        <w:right w:val="none" w:sz="0" w:space="0" w:color="auto"/>
      </w:divBdr>
    </w:div>
    <w:div w:id="1300067584">
      <w:bodyDiv w:val="1"/>
      <w:marLeft w:val="0"/>
      <w:marRight w:val="0"/>
      <w:marTop w:val="0"/>
      <w:marBottom w:val="0"/>
      <w:divBdr>
        <w:top w:val="none" w:sz="0" w:space="0" w:color="auto"/>
        <w:left w:val="none" w:sz="0" w:space="0" w:color="auto"/>
        <w:bottom w:val="none" w:sz="0" w:space="0" w:color="auto"/>
        <w:right w:val="none" w:sz="0" w:space="0" w:color="auto"/>
      </w:divBdr>
    </w:div>
    <w:div w:id="1302878943">
      <w:bodyDiv w:val="1"/>
      <w:marLeft w:val="0"/>
      <w:marRight w:val="0"/>
      <w:marTop w:val="0"/>
      <w:marBottom w:val="0"/>
      <w:divBdr>
        <w:top w:val="none" w:sz="0" w:space="0" w:color="auto"/>
        <w:left w:val="none" w:sz="0" w:space="0" w:color="auto"/>
        <w:bottom w:val="none" w:sz="0" w:space="0" w:color="auto"/>
        <w:right w:val="none" w:sz="0" w:space="0" w:color="auto"/>
      </w:divBdr>
    </w:div>
    <w:div w:id="1311667524">
      <w:bodyDiv w:val="1"/>
      <w:marLeft w:val="0"/>
      <w:marRight w:val="0"/>
      <w:marTop w:val="0"/>
      <w:marBottom w:val="0"/>
      <w:divBdr>
        <w:top w:val="none" w:sz="0" w:space="0" w:color="auto"/>
        <w:left w:val="none" w:sz="0" w:space="0" w:color="auto"/>
        <w:bottom w:val="none" w:sz="0" w:space="0" w:color="auto"/>
        <w:right w:val="none" w:sz="0" w:space="0" w:color="auto"/>
      </w:divBdr>
    </w:div>
    <w:div w:id="1313560201">
      <w:bodyDiv w:val="1"/>
      <w:marLeft w:val="0"/>
      <w:marRight w:val="0"/>
      <w:marTop w:val="0"/>
      <w:marBottom w:val="0"/>
      <w:divBdr>
        <w:top w:val="none" w:sz="0" w:space="0" w:color="auto"/>
        <w:left w:val="none" w:sz="0" w:space="0" w:color="auto"/>
        <w:bottom w:val="none" w:sz="0" w:space="0" w:color="auto"/>
        <w:right w:val="none" w:sz="0" w:space="0" w:color="auto"/>
      </w:divBdr>
    </w:div>
    <w:div w:id="1314796651">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19264818">
      <w:bodyDiv w:val="1"/>
      <w:marLeft w:val="0"/>
      <w:marRight w:val="0"/>
      <w:marTop w:val="0"/>
      <w:marBottom w:val="0"/>
      <w:divBdr>
        <w:top w:val="none" w:sz="0" w:space="0" w:color="auto"/>
        <w:left w:val="none" w:sz="0" w:space="0" w:color="auto"/>
        <w:bottom w:val="none" w:sz="0" w:space="0" w:color="auto"/>
        <w:right w:val="none" w:sz="0" w:space="0" w:color="auto"/>
      </w:divBdr>
    </w:div>
    <w:div w:id="132146862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32836983">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46402738">
      <w:bodyDiv w:val="1"/>
      <w:marLeft w:val="0"/>
      <w:marRight w:val="0"/>
      <w:marTop w:val="0"/>
      <w:marBottom w:val="0"/>
      <w:divBdr>
        <w:top w:val="none" w:sz="0" w:space="0" w:color="auto"/>
        <w:left w:val="none" w:sz="0" w:space="0" w:color="auto"/>
        <w:bottom w:val="none" w:sz="0" w:space="0" w:color="auto"/>
        <w:right w:val="none" w:sz="0" w:space="0" w:color="auto"/>
      </w:divBdr>
    </w:div>
    <w:div w:id="1349481905">
      <w:bodyDiv w:val="1"/>
      <w:marLeft w:val="0"/>
      <w:marRight w:val="0"/>
      <w:marTop w:val="0"/>
      <w:marBottom w:val="0"/>
      <w:divBdr>
        <w:top w:val="none" w:sz="0" w:space="0" w:color="auto"/>
        <w:left w:val="none" w:sz="0" w:space="0" w:color="auto"/>
        <w:bottom w:val="none" w:sz="0" w:space="0" w:color="auto"/>
        <w:right w:val="none" w:sz="0" w:space="0" w:color="auto"/>
      </w:divBdr>
    </w:div>
    <w:div w:id="1349914115">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8002766">
      <w:bodyDiv w:val="1"/>
      <w:marLeft w:val="0"/>
      <w:marRight w:val="0"/>
      <w:marTop w:val="0"/>
      <w:marBottom w:val="0"/>
      <w:divBdr>
        <w:top w:val="none" w:sz="0" w:space="0" w:color="auto"/>
        <w:left w:val="none" w:sz="0" w:space="0" w:color="auto"/>
        <w:bottom w:val="none" w:sz="0" w:space="0" w:color="auto"/>
        <w:right w:val="none" w:sz="0" w:space="0" w:color="auto"/>
      </w:divBdr>
    </w:div>
    <w:div w:id="1358047143">
      <w:bodyDiv w:val="1"/>
      <w:marLeft w:val="0"/>
      <w:marRight w:val="0"/>
      <w:marTop w:val="0"/>
      <w:marBottom w:val="0"/>
      <w:divBdr>
        <w:top w:val="none" w:sz="0" w:space="0" w:color="auto"/>
        <w:left w:val="none" w:sz="0" w:space="0" w:color="auto"/>
        <w:bottom w:val="none" w:sz="0" w:space="0" w:color="auto"/>
        <w:right w:val="none" w:sz="0" w:space="0" w:color="auto"/>
      </w:divBdr>
    </w:div>
    <w:div w:id="1361125153">
      <w:bodyDiv w:val="1"/>
      <w:marLeft w:val="0"/>
      <w:marRight w:val="0"/>
      <w:marTop w:val="0"/>
      <w:marBottom w:val="0"/>
      <w:divBdr>
        <w:top w:val="none" w:sz="0" w:space="0" w:color="auto"/>
        <w:left w:val="none" w:sz="0" w:space="0" w:color="auto"/>
        <w:bottom w:val="none" w:sz="0" w:space="0" w:color="auto"/>
        <w:right w:val="none" w:sz="0" w:space="0" w:color="auto"/>
      </w:divBdr>
    </w:div>
    <w:div w:id="1369642162">
      <w:bodyDiv w:val="1"/>
      <w:marLeft w:val="0"/>
      <w:marRight w:val="0"/>
      <w:marTop w:val="0"/>
      <w:marBottom w:val="0"/>
      <w:divBdr>
        <w:top w:val="none" w:sz="0" w:space="0" w:color="auto"/>
        <w:left w:val="none" w:sz="0" w:space="0" w:color="auto"/>
        <w:bottom w:val="none" w:sz="0" w:space="0" w:color="auto"/>
        <w:right w:val="none" w:sz="0" w:space="0" w:color="auto"/>
      </w:divBdr>
    </w:div>
    <w:div w:id="1370305089">
      <w:bodyDiv w:val="1"/>
      <w:marLeft w:val="0"/>
      <w:marRight w:val="0"/>
      <w:marTop w:val="0"/>
      <w:marBottom w:val="0"/>
      <w:divBdr>
        <w:top w:val="none" w:sz="0" w:space="0" w:color="auto"/>
        <w:left w:val="none" w:sz="0" w:space="0" w:color="auto"/>
        <w:bottom w:val="none" w:sz="0" w:space="0" w:color="auto"/>
        <w:right w:val="none" w:sz="0" w:space="0" w:color="auto"/>
      </w:divBdr>
    </w:div>
    <w:div w:id="1377508744">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58920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394698577">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16318177">
      <w:bodyDiv w:val="1"/>
      <w:marLeft w:val="0"/>
      <w:marRight w:val="0"/>
      <w:marTop w:val="0"/>
      <w:marBottom w:val="0"/>
      <w:divBdr>
        <w:top w:val="none" w:sz="0" w:space="0" w:color="auto"/>
        <w:left w:val="none" w:sz="0" w:space="0" w:color="auto"/>
        <w:bottom w:val="none" w:sz="0" w:space="0" w:color="auto"/>
        <w:right w:val="none" w:sz="0" w:space="0" w:color="auto"/>
      </w:divBdr>
    </w:div>
    <w:div w:id="1417478281">
      <w:bodyDiv w:val="1"/>
      <w:marLeft w:val="0"/>
      <w:marRight w:val="0"/>
      <w:marTop w:val="0"/>
      <w:marBottom w:val="0"/>
      <w:divBdr>
        <w:top w:val="none" w:sz="0" w:space="0" w:color="auto"/>
        <w:left w:val="none" w:sz="0" w:space="0" w:color="auto"/>
        <w:bottom w:val="none" w:sz="0" w:space="0" w:color="auto"/>
        <w:right w:val="none" w:sz="0" w:space="0" w:color="auto"/>
      </w:divBdr>
    </w:div>
    <w:div w:id="142195115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4230609">
      <w:bodyDiv w:val="1"/>
      <w:marLeft w:val="0"/>
      <w:marRight w:val="0"/>
      <w:marTop w:val="0"/>
      <w:marBottom w:val="0"/>
      <w:divBdr>
        <w:top w:val="none" w:sz="0" w:space="0" w:color="auto"/>
        <w:left w:val="none" w:sz="0" w:space="0" w:color="auto"/>
        <w:bottom w:val="none" w:sz="0" w:space="0" w:color="auto"/>
        <w:right w:val="none" w:sz="0" w:space="0" w:color="auto"/>
      </w:divBdr>
      <w:divsChild>
        <w:div w:id="2006735513">
          <w:marLeft w:val="0"/>
          <w:marRight w:val="0"/>
          <w:marTop w:val="0"/>
          <w:marBottom w:val="0"/>
          <w:divBdr>
            <w:top w:val="none" w:sz="0" w:space="0" w:color="auto"/>
            <w:left w:val="none" w:sz="0" w:space="0" w:color="auto"/>
            <w:bottom w:val="none" w:sz="0" w:space="0" w:color="auto"/>
            <w:right w:val="none" w:sz="0" w:space="0" w:color="auto"/>
          </w:divBdr>
          <w:divsChild>
            <w:div w:id="100856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448449">
      <w:bodyDiv w:val="1"/>
      <w:marLeft w:val="0"/>
      <w:marRight w:val="0"/>
      <w:marTop w:val="0"/>
      <w:marBottom w:val="0"/>
      <w:divBdr>
        <w:top w:val="none" w:sz="0" w:space="0" w:color="auto"/>
        <w:left w:val="none" w:sz="0" w:space="0" w:color="auto"/>
        <w:bottom w:val="none" w:sz="0" w:space="0" w:color="auto"/>
        <w:right w:val="none" w:sz="0" w:space="0" w:color="auto"/>
      </w:divBdr>
    </w:div>
    <w:div w:id="1425301356">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3208">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38595830">
      <w:bodyDiv w:val="1"/>
      <w:marLeft w:val="0"/>
      <w:marRight w:val="0"/>
      <w:marTop w:val="0"/>
      <w:marBottom w:val="0"/>
      <w:divBdr>
        <w:top w:val="none" w:sz="0" w:space="0" w:color="auto"/>
        <w:left w:val="none" w:sz="0" w:space="0" w:color="auto"/>
        <w:bottom w:val="none" w:sz="0" w:space="0" w:color="auto"/>
        <w:right w:val="none" w:sz="0" w:space="0" w:color="auto"/>
      </w:divBdr>
    </w:div>
    <w:div w:id="1439331590">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43917641">
      <w:bodyDiv w:val="1"/>
      <w:marLeft w:val="0"/>
      <w:marRight w:val="0"/>
      <w:marTop w:val="0"/>
      <w:marBottom w:val="0"/>
      <w:divBdr>
        <w:top w:val="none" w:sz="0" w:space="0" w:color="auto"/>
        <w:left w:val="none" w:sz="0" w:space="0" w:color="auto"/>
        <w:bottom w:val="none" w:sz="0" w:space="0" w:color="auto"/>
        <w:right w:val="none" w:sz="0" w:space="0" w:color="auto"/>
      </w:divBdr>
      <w:divsChild>
        <w:div w:id="1671367539">
          <w:marLeft w:val="0"/>
          <w:marRight w:val="0"/>
          <w:marTop w:val="0"/>
          <w:marBottom w:val="0"/>
          <w:divBdr>
            <w:top w:val="none" w:sz="0" w:space="0" w:color="auto"/>
            <w:left w:val="none" w:sz="0" w:space="0" w:color="auto"/>
            <w:bottom w:val="none" w:sz="0" w:space="0" w:color="auto"/>
            <w:right w:val="none" w:sz="0" w:space="0" w:color="auto"/>
          </w:divBdr>
          <w:divsChild>
            <w:div w:id="67884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92540">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55370254">
      <w:bodyDiv w:val="1"/>
      <w:marLeft w:val="0"/>
      <w:marRight w:val="0"/>
      <w:marTop w:val="0"/>
      <w:marBottom w:val="0"/>
      <w:divBdr>
        <w:top w:val="none" w:sz="0" w:space="0" w:color="auto"/>
        <w:left w:val="none" w:sz="0" w:space="0" w:color="auto"/>
        <w:bottom w:val="none" w:sz="0" w:space="0" w:color="auto"/>
        <w:right w:val="none" w:sz="0" w:space="0" w:color="auto"/>
      </w:divBdr>
    </w:div>
    <w:div w:id="1461537043">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1438801">
      <w:bodyDiv w:val="1"/>
      <w:marLeft w:val="0"/>
      <w:marRight w:val="0"/>
      <w:marTop w:val="0"/>
      <w:marBottom w:val="0"/>
      <w:divBdr>
        <w:top w:val="none" w:sz="0" w:space="0" w:color="auto"/>
        <w:left w:val="none" w:sz="0" w:space="0" w:color="auto"/>
        <w:bottom w:val="none" w:sz="0" w:space="0" w:color="auto"/>
        <w:right w:val="none" w:sz="0" w:space="0" w:color="auto"/>
      </w:divBdr>
      <w:divsChild>
        <w:div w:id="1059062232">
          <w:marLeft w:val="274"/>
          <w:marRight w:val="0"/>
          <w:marTop w:val="0"/>
          <w:marBottom w:val="0"/>
          <w:divBdr>
            <w:top w:val="none" w:sz="0" w:space="0" w:color="auto"/>
            <w:left w:val="none" w:sz="0" w:space="0" w:color="auto"/>
            <w:bottom w:val="none" w:sz="0" w:space="0" w:color="auto"/>
            <w:right w:val="none" w:sz="0" w:space="0" w:color="auto"/>
          </w:divBdr>
        </w:div>
        <w:div w:id="1763602456">
          <w:marLeft w:val="274"/>
          <w:marRight w:val="0"/>
          <w:marTop w:val="0"/>
          <w:marBottom w:val="0"/>
          <w:divBdr>
            <w:top w:val="none" w:sz="0" w:space="0" w:color="auto"/>
            <w:left w:val="none" w:sz="0" w:space="0" w:color="auto"/>
            <w:bottom w:val="none" w:sz="0" w:space="0" w:color="auto"/>
            <w:right w:val="none" w:sz="0" w:space="0" w:color="auto"/>
          </w:divBdr>
        </w:div>
      </w:divsChild>
    </w:div>
    <w:div w:id="1471707209">
      <w:bodyDiv w:val="1"/>
      <w:marLeft w:val="0"/>
      <w:marRight w:val="0"/>
      <w:marTop w:val="0"/>
      <w:marBottom w:val="0"/>
      <w:divBdr>
        <w:top w:val="none" w:sz="0" w:space="0" w:color="auto"/>
        <w:left w:val="none" w:sz="0" w:space="0" w:color="auto"/>
        <w:bottom w:val="none" w:sz="0" w:space="0" w:color="auto"/>
        <w:right w:val="none" w:sz="0" w:space="0" w:color="auto"/>
      </w:divBdr>
    </w:div>
    <w:div w:id="1480532148">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1433964">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23471027">
      <w:bodyDiv w:val="1"/>
      <w:marLeft w:val="0"/>
      <w:marRight w:val="0"/>
      <w:marTop w:val="0"/>
      <w:marBottom w:val="0"/>
      <w:divBdr>
        <w:top w:val="none" w:sz="0" w:space="0" w:color="auto"/>
        <w:left w:val="none" w:sz="0" w:space="0" w:color="auto"/>
        <w:bottom w:val="none" w:sz="0" w:space="0" w:color="auto"/>
        <w:right w:val="none" w:sz="0" w:space="0" w:color="auto"/>
      </w:divBdr>
    </w:div>
    <w:div w:id="1527475889">
      <w:bodyDiv w:val="1"/>
      <w:marLeft w:val="0"/>
      <w:marRight w:val="0"/>
      <w:marTop w:val="0"/>
      <w:marBottom w:val="0"/>
      <w:divBdr>
        <w:top w:val="none" w:sz="0" w:space="0" w:color="auto"/>
        <w:left w:val="none" w:sz="0" w:space="0" w:color="auto"/>
        <w:bottom w:val="none" w:sz="0" w:space="0" w:color="auto"/>
        <w:right w:val="none" w:sz="0" w:space="0" w:color="auto"/>
      </w:divBdr>
    </w:div>
    <w:div w:id="153723321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4941590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0603994">
      <w:bodyDiv w:val="1"/>
      <w:marLeft w:val="0"/>
      <w:marRight w:val="0"/>
      <w:marTop w:val="0"/>
      <w:marBottom w:val="0"/>
      <w:divBdr>
        <w:top w:val="none" w:sz="0" w:space="0" w:color="auto"/>
        <w:left w:val="none" w:sz="0" w:space="0" w:color="auto"/>
        <w:bottom w:val="none" w:sz="0" w:space="0" w:color="auto"/>
        <w:right w:val="none" w:sz="0" w:space="0" w:color="auto"/>
      </w:divBdr>
    </w:div>
    <w:div w:id="1557814101">
      <w:bodyDiv w:val="1"/>
      <w:marLeft w:val="0"/>
      <w:marRight w:val="0"/>
      <w:marTop w:val="0"/>
      <w:marBottom w:val="0"/>
      <w:divBdr>
        <w:top w:val="none" w:sz="0" w:space="0" w:color="auto"/>
        <w:left w:val="none" w:sz="0" w:space="0" w:color="auto"/>
        <w:bottom w:val="none" w:sz="0" w:space="0" w:color="auto"/>
        <w:right w:val="none" w:sz="0" w:space="0" w:color="auto"/>
      </w:divBdr>
    </w:div>
    <w:div w:id="1559508154">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6379685">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3568188">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1815724">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2301517">
      <w:bodyDiv w:val="1"/>
      <w:marLeft w:val="0"/>
      <w:marRight w:val="0"/>
      <w:marTop w:val="0"/>
      <w:marBottom w:val="0"/>
      <w:divBdr>
        <w:top w:val="none" w:sz="0" w:space="0" w:color="auto"/>
        <w:left w:val="none" w:sz="0" w:space="0" w:color="auto"/>
        <w:bottom w:val="none" w:sz="0" w:space="0" w:color="auto"/>
        <w:right w:val="none" w:sz="0" w:space="0" w:color="auto"/>
      </w:divBdr>
    </w:div>
    <w:div w:id="1603492651">
      <w:bodyDiv w:val="1"/>
      <w:marLeft w:val="0"/>
      <w:marRight w:val="0"/>
      <w:marTop w:val="0"/>
      <w:marBottom w:val="0"/>
      <w:divBdr>
        <w:top w:val="none" w:sz="0" w:space="0" w:color="auto"/>
        <w:left w:val="none" w:sz="0" w:space="0" w:color="auto"/>
        <w:bottom w:val="none" w:sz="0" w:space="0" w:color="auto"/>
        <w:right w:val="none" w:sz="0" w:space="0" w:color="auto"/>
      </w:divBdr>
    </w:div>
    <w:div w:id="1607225100">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18440725">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4338652">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2906836">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3273351">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4867202">
      <w:bodyDiv w:val="1"/>
      <w:marLeft w:val="0"/>
      <w:marRight w:val="0"/>
      <w:marTop w:val="0"/>
      <w:marBottom w:val="0"/>
      <w:divBdr>
        <w:top w:val="none" w:sz="0" w:space="0" w:color="auto"/>
        <w:left w:val="none" w:sz="0" w:space="0" w:color="auto"/>
        <w:bottom w:val="none" w:sz="0" w:space="0" w:color="auto"/>
        <w:right w:val="none" w:sz="0" w:space="0" w:color="auto"/>
      </w:divBdr>
    </w:div>
    <w:div w:id="1660116962">
      <w:bodyDiv w:val="1"/>
      <w:marLeft w:val="0"/>
      <w:marRight w:val="0"/>
      <w:marTop w:val="0"/>
      <w:marBottom w:val="0"/>
      <w:divBdr>
        <w:top w:val="none" w:sz="0" w:space="0" w:color="auto"/>
        <w:left w:val="none" w:sz="0" w:space="0" w:color="auto"/>
        <w:bottom w:val="none" w:sz="0" w:space="0" w:color="auto"/>
        <w:right w:val="none" w:sz="0" w:space="0" w:color="auto"/>
      </w:divBdr>
    </w:div>
    <w:div w:id="1660188091">
      <w:bodyDiv w:val="1"/>
      <w:marLeft w:val="0"/>
      <w:marRight w:val="0"/>
      <w:marTop w:val="0"/>
      <w:marBottom w:val="0"/>
      <w:divBdr>
        <w:top w:val="none" w:sz="0" w:space="0" w:color="auto"/>
        <w:left w:val="none" w:sz="0" w:space="0" w:color="auto"/>
        <w:bottom w:val="none" w:sz="0" w:space="0" w:color="auto"/>
        <w:right w:val="none" w:sz="0" w:space="0" w:color="auto"/>
      </w:divBdr>
    </w:div>
    <w:div w:id="1661344707">
      <w:bodyDiv w:val="1"/>
      <w:marLeft w:val="0"/>
      <w:marRight w:val="0"/>
      <w:marTop w:val="0"/>
      <w:marBottom w:val="0"/>
      <w:divBdr>
        <w:top w:val="none" w:sz="0" w:space="0" w:color="auto"/>
        <w:left w:val="none" w:sz="0" w:space="0" w:color="auto"/>
        <w:bottom w:val="none" w:sz="0" w:space="0" w:color="auto"/>
        <w:right w:val="none" w:sz="0" w:space="0" w:color="auto"/>
      </w:divBdr>
    </w:div>
    <w:div w:id="1663240147">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70795354">
      <w:bodyDiv w:val="1"/>
      <w:marLeft w:val="0"/>
      <w:marRight w:val="0"/>
      <w:marTop w:val="0"/>
      <w:marBottom w:val="0"/>
      <w:divBdr>
        <w:top w:val="none" w:sz="0" w:space="0" w:color="auto"/>
        <w:left w:val="none" w:sz="0" w:space="0" w:color="auto"/>
        <w:bottom w:val="none" w:sz="0" w:space="0" w:color="auto"/>
        <w:right w:val="none" w:sz="0" w:space="0" w:color="auto"/>
      </w:divBdr>
    </w:div>
    <w:div w:id="1672367969">
      <w:bodyDiv w:val="1"/>
      <w:marLeft w:val="0"/>
      <w:marRight w:val="0"/>
      <w:marTop w:val="0"/>
      <w:marBottom w:val="0"/>
      <w:divBdr>
        <w:top w:val="none" w:sz="0" w:space="0" w:color="auto"/>
        <w:left w:val="none" w:sz="0" w:space="0" w:color="auto"/>
        <w:bottom w:val="none" w:sz="0" w:space="0" w:color="auto"/>
        <w:right w:val="none" w:sz="0" w:space="0" w:color="auto"/>
      </w:divBdr>
    </w:div>
    <w:div w:id="1678995552">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2873171">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5203695">
      <w:bodyDiv w:val="1"/>
      <w:marLeft w:val="0"/>
      <w:marRight w:val="0"/>
      <w:marTop w:val="0"/>
      <w:marBottom w:val="0"/>
      <w:divBdr>
        <w:top w:val="none" w:sz="0" w:space="0" w:color="auto"/>
        <w:left w:val="none" w:sz="0" w:space="0" w:color="auto"/>
        <w:bottom w:val="none" w:sz="0" w:space="0" w:color="auto"/>
        <w:right w:val="none" w:sz="0" w:space="0" w:color="auto"/>
      </w:divBdr>
    </w:div>
    <w:div w:id="1705597726">
      <w:bodyDiv w:val="1"/>
      <w:marLeft w:val="0"/>
      <w:marRight w:val="0"/>
      <w:marTop w:val="0"/>
      <w:marBottom w:val="0"/>
      <w:divBdr>
        <w:top w:val="none" w:sz="0" w:space="0" w:color="auto"/>
        <w:left w:val="none" w:sz="0" w:space="0" w:color="auto"/>
        <w:bottom w:val="none" w:sz="0" w:space="0" w:color="auto"/>
        <w:right w:val="none" w:sz="0" w:space="0" w:color="auto"/>
      </w:divBdr>
    </w:div>
    <w:div w:id="171206821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4576441">
      <w:bodyDiv w:val="1"/>
      <w:marLeft w:val="0"/>
      <w:marRight w:val="0"/>
      <w:marTop w:val="0"/>
      <w:marBottom w:val="0"/>
      <w:divBdr>
        <w:top w:val="none" w:sz="0" w:space="0" w:color="auto"/>
        <w:left w:val="none" w:sz="0" w:space="0" w:color="auto"/>
        <w:bottom w:val="none" w:sz="0" w:space="0" w:color="auto"/>
        <w:right w:val="none" w:sz="0" w:space="0" w:color="auto"/>
      </w:divBdr>
    </w:div>
    <w:div w:id="1720980775">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3597273">
      <w:bodyDiv w:val="1"/>
      <w:marLeft w:val="0"/>
      <w:marRight w:val="0"/>
      <w:marTop w:val="0"/>
      <w:marBottom w:val="0"/>
      <w:divBdr>
        <w:top w:val="none" w:sz="0" w:space="0" w:color="auto"/>
        <w:left w:val="none" w:sz="0" w:space="0" w:color="auto"/>
        <w:bottom w:val="none" w:sz="0" w:space="0" w:color="auto"/>
        <w:right w:val="none" w:sz="0" w:space="0" w:color="auto"/>
      </w:divBdr>
    </w:div>
    <w:div w:id="1723868511">
      <w:bodyDiv w:val="1"/>
      <w:marLeft w:val="0"/>
      <w:marRight w:val="0"/>
      <w:marTop w:val="0"/>
      <w:marBottom w:val="0"/>
      <w:divBdr>
        <w:top w:val="none" w:sz="0" w:space="0" w:color="auto"/>
        <w:left w:val="none" w:sz="0" w:space="0" w:color="auto"/>
        <w:bottom w:val="none" w:sz="0" w:space="0" w:color="auto"/>
        <w:right w:val="none" w:sz="0" w:space="0" w:color="auto"/>
      </w:divBdr>
    </w:div>
    <w:div w:id="1724059832">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38283221">
      <w:bodyDiv w:val="1"/>
      <w:marLeft w:val="0"/>
      <w:marRight w:val="0"/>
      <w:marTop w:val="0"/>
      <w:marBottom w:val="0"/>
      <w:divBdr>
        <w:top w:val="none" w:sz="0" w:space="0" w:color="auto"/>
        <w:left w:val="none" w:sz="0" w:space="0" w:color="auto"/>
        <w:bottom w:val="none" w:sz="0" w:space="0" w:color="auto"/>
        <w:right w:val="none" w:sz="0" w:space="0" w:color="auto"/>
      </w:divBdr>
    </w:div>
    <w:div w:id="1746222767">
      <w:bodyDiv w:val="1"/>
      <w:marLeft w:val="0"/>
      <w:marRight w:val="0"/>
      <w:marTop w:val="0"/>
      <w:marBottom w:val="0"/>
      <w:divBdr>
        <w:top w:val="none" w:sz="0" w:space="0" w:color="auto"/>
        <w:left w:val="none" w:sz="0" w:space="0" w:color="auto"/>
        <w:bottom w:val="none" w:sz="0" w:space="0" w:color="auto"/>
        <w:right w:val="none" w:sz="0" w:space="0" w:color="auto"/>
      </w:divBdr>
    </w:div>
    <w:div w:id="1750542499">
      <w:bodyDiv w:val="1"/>
      <w:marLeft w:val="0"/>
      <w:marRight w:val="0"/>
      <w:marTop w:val="0"/>
      <w:marBottom w:val="0"/>
      <w:divBdr>
        <w:top w:val="none" w:sz="0" w:space="0" w:color="auto"/>
        <w:left w:val="none" w:sz="0" w:space="0" w:color="auto"/>
        <w:bottom w:val="none" w:sz="0" w:space="0" w:color="auto"/>
        <w:right w:val="none" w:sz="0" w:space="0" w:color="auto"/>
      </w:divBdr>
    </w:div>
    <w:div w:id="1751343102">
      <w:bodyDiv w:val="1"/>
      <w:marLeft w:val="0"/>
      <w:marRight w:val="0"/>
      <w:marTop w:val="0"/>
      <w:marBottom w:val="0"/>
      <w:divBdr>
        <w:top w:val="none" w:sz="0" w:space="0" w:color="auto"/>
        <w:left w:val="none" w:sz="0" w:space="0" w:color="auto"/>
        <w:bottom w:val="none" w:sz="0" w:space="0" w:color="auto"/>
        <w:right w:val="none" w:sz="0" w:space="0" w:color="auto"/>
      </w:divBdr>
    </w:div>
    <w:div w:id="1753815335">
      <w:bodyDiv w:val="1"/>
      <w:marLeft w:val="0"/>
      <w:marRight w:val="0"/>
      <w:marTop w:val="0"/>
      <w:marBottom w:val="0"/>
      <w:divBdr>
        <w:top w:val="none" w:sz="0" w:space="0" w:color="auto"/>
        <w:left w:val="none" w:sz="0" w:space="0" w:color="auto"/>
        <w:bottom w:val="none" w:sz="0" w:space="0" w:color="auto"/>
        <w:right w:val="none" w:sz="0" w:space="0" w:color="auto"/>
      </w:divBdr>
    </w:div>
    <w:div w:id="1756122384">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2125044">
      <w:bodyDiv w:val="1"/>
      <w:marLeft w:val="0"/>
      <w:marRight w:val="0"/>
      <w:marTop w:val="0"/>
      <w:marBottom w:val="0"/>
      <w:divBdr>
        <w:top w:val="none" w:sz="0" w:space="0" w:color="auto"/>
        <w:left w:val="none" w:sz="0" w:space="0" w:color="auto"/>
        <w:bottom w:val="none" w:sz="0" w:space="0" w:color="auto"/>
        <w:right w:val="none" w:sz="0" w:space="0" w:color="auto"/>
      </w:divBdr>
    </w:div>
    <w:div w:id="1776443415">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7700613">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791894394">
      <w:bodyDiv w:val="1"/>
      <w:marLeft w:val="0"/>
      <w:marRight w:val="0"/>
      <w:marTop w:val="0"/>
      <w:marBottom w:val="0"/>
      <w:divBdr>
        <w:top w:val="none" w:sz="0" w:space="0" w:color="auto"/>
        <w:left w:val="none" w:sz="0" w:space="0" w:color="auto"/>
        <w:bottom w:val="none" w:sz="0" w:space="0" w:color="auto"/>
        <w:right w:val="none" w:sz="0" w:space="0" w:color="auto"/>
      </w:divBdr>
    </w:div>
    <w:div w:id="1796753924">
      <w:bodyDiv w:val="1"/>
      <w:marLeft w:val="0"/>
      <w:marRight w:val="0"/>
      <w:marTop w:val="0"/>
      <w:marBottom w:val="0"/>
      <w:divBdr>
        <w:top w:val="none" w:sz="0" w:space="0" w:color="auto"/>
        <w:left w:val="none" w:sz="0" w:space="0" w:color="auto"/>
        <w:bottom w:val="none" w:sz="0" w:space="0" w:color="auto"/>
        <w:right w:val="none" w:sz="0" w:space="0" w:color="auto"/>
      </w:divBdr>
    </w:div>
    <w:div w:id="1798909252">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05343278">
      <w:bodyDiv w:val="1"/>
      <w:marLeft w:val="0"/>
      <w:marRight w:val="0"/>
      <w:marTop w:val="0"/>
      <w:marBottom w:val="0"/>
      <w:divBdr>
        <w:top w:val="none" w:sz="0" w:space="0" w:color="auto"/>
        <w:left w:val="none" w:sz="0" w:space="0" w:color="auto"/>
        <w:bottom w:val="none" w:sz="0" w:space="0" w:color="auto"/>
        <w:right w:val="none" w:sz="0" w:space="0" w:color="auto"/>
      </w:divBdr>
    </w:div>
    <w:div w:id="1806968213">
      <w:bodyDiv w:val="1"/>
      <w:marLeft w:val="0"/>
      <w:marRight w:val="0"/>
      <w:marTop w:val="0"/>
      <w:marBottom w:val="0"/>
      <w:divBdr>
        <w:top w:val="none" w:sz="0" w:space="0" w:color="auto"/>
        <w:left w:val="none" w:sz="0" w:space="0" w:color="auto"/>
        <w:bottom w:val="none" w:sz="0" w:space="0" w:color="auto"/>
        <w:right w:val="none" w:sz="0" w:space="0" w:color="auto"/>
      </w:divBdr>
    </w:div>
    <w:div w:id="1809318535">
      <w:bodyDiv w:val="1"/>
      <w:marLeft w:val="0"/>
      <w:marRight w:val="0"/>
      <w:marTop w:val="0"/>
      <w:marBottom w:val="0"/>
      <w:divBdr>
        <w:top w:val="none" w:sz="0" w:space="0" w:color="auto"/>
        <w:left w:val="none" w:sz="0" w:space="0" w:color="auto"/>
        <w:bottom w:val="none" w:sz="0" w:space="0" w:color="auto"/>
        <w:right w:val="none" w:sz="0" w:space="0" w:color="auto"/>
      </w:divBdr>
    </w:div>
    <w:div w:id="1811512689">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17915740">
      <w:bodyDiv w:val="1"/>
      <w:marLeft w:val="0"/>
      <w:marRight w:val="0"/>
      <w:marTop w:val="0"/>
      <w:marBottom w:val="0"/>
      <w:divBdr>
        <w:top w:val="none" w:sz="0" w:space="0" w:color="auto"/>
        <w:left w:val="none" w:sz="0" w:space="0" w:color="auto"/>
        <w:bottom w:val="none" w:sz="0" w:space="0" w:color="auto"/>
        <w:right w:val="none" w:sz="0" w:space="0" w:color="auto"/>
      </w:divBdr>
    </w:div>
    <w:div w:id="1820413670">
      <w:bodyDiv w:val="1"/>
      <w:marLeft w:val="0"/>
      <w:marRight w:val="0"/>
      <w:marTop w:val="0"/>
      <w:marBottom w:val="0"/>
      <w:divBdr>
        <w:top w:val="none" w:sz="0" w:space="0" w:color="auto"/>
        <w:left w:val="none" w:sz="0" w:space="0" w:color="auto"/>
        <w:bottom w:val="none" w:sz="0" w:space="0" w:color="auto"/>
        <w:right w:val="none" w:sz="0" w:space="0" w:color="auto"/>
      </w:divBdr>
    </w:div>
    <w:div w:id="1821076267">
      <w:bodyDiv w:val="1"/>
      <w:marLeft w:val="0"/>
      <w:marRight w:val="0"/>
      <w:marTop w:val="0"/>
      <w:marBottom w:val="0"/>
      <w:divBdr>
        <w:top w:val="none" w:sz="0" w:space="0" w:color="auto"/>
        <w:left w:val="none" w:sz="0" w:space="0" w:color="auto"/>
        <w:bottom w:val="none" w:sz="0" w:space="0" w:color="auto"/>
        <w:right w:val="none" w:sz="0" w:space="0" w:color="auto"/>
      </w:divBdr>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5031513">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37530869">
      <w:bodyDiv w:val="1"/>
      <w:marLeft w:val="0"/>
      <w:marRight w:val="0"/>
      <w:marTop w:val="0"/>
      <w:marBottom w:val="0"/>
      <w:divBdr>
        <w:top w:val="none" w:sz="0" w:space="0" w:color="auto"/>
        <w:left w:val="none" w:sz="0" w:space="0" w:color="auto"/>
        <w:bottom w:val="none" w:sz="0" w:space="0" w:color="auto"/>
        <w:right w:val="none" w:sz="0" w:space="0" w:color="auto"/>
      </w:divBdr>
    </w:div>
    <w:div w:id="1842625479">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6115757">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8079068">
      <w:bodyDiv w:val="1"/>
      <w:marLeft w:val="0"/>
      <w:marRight w:val="0"/>
      <w:marTop w:val="0"/>
      <w:marBottom w:val="0"/>
      <w:divBdr>
        <w:top w:val="none" w:sz="0" w:space="0" w:color="auto"/>
        <w:left w:val="none" w:sz="0" w:space="0" w:color="auto"/>
        <w:bottom w:val="none" w:sz="0" w:space="0" w:color="auto"/>
        <w:right w:val="none" w:sz="0" w:space="0" w:color="auto"/>
      </w:divBdr>
    </w:div>
    <w:div w:id="1860510282">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3934396">
      <w:bodyDiv w:val="1"/>
      <w:marLeft w:val="0"/>
      <w:marRight w:val="0"/>
      <w:marTop w:val="0"/>
      <w:marBottom w:val="0"/>
      <w:divBdr>
        <w:top w:val="none" w:sz="0" w:space="0" w:color="auto"/>
        <w:left w:val="none" w:sz="0" w:space="0" w:color="auto"/>
        <w:bottom w:val="none" w:sz="0" w:space="0" w:color="auto"/>
        <w:right w:val="none" w:sz="0" w:space="0" w:color="auto"/>
      </w:divBdr>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72498379">
      <w:bodyDiv w:val="1"/>
      <w:marLeft w:val="0"/>
      <w:marRight w:val="0"/>
      <w:marTop w:val="0"/>
      <w:marBottom w:val="0"/>
      <w:divBdr>
        <w:top w:val="none" w:sz="0" w:space="0" w:color="auto"/>
        <w:left w:val="none" w:sz="0" w:space="0" w:color="auto"/>
        <w:bottom w:val="none" w:sz="0" w:space="0" w:color="auto"/>
        <w:right w:val="none" w:sz="0" w:space="0" w:color="auto"/>
      </w:divBdr>
    </w:div>
    <w:div w:id="1879973853">
      <w:bodyDiv w:val="1"/>
      <w:marLeft w:val="0"/>
      <w:marRight w:val="0"/>
      <w:marTop w:val="0"/>
      <w:marBottom w:val="0"/>
      <w:divBdr>
        <w:top w:val="none" w:sz="0" w:space="0" w:color="auto"/>
        <w:left w:val="none" w:sz="0" w:space="0" w:color="auto"/>
        <w:bottom w:val="none" w:sz="0" w:space="0" w:color="auto"/>
        <w:right w:val="none" w:sz="0" w:space="0" w:color="auto"/>
      </w:divBdr>
    </w:div>
    <w:div w:id="1882202676">
      <w:bodyDiv w:val="1"/>
      <w:marLeft w:val="0"/>
      <w:marRight w:val="0"/>
      <w:marTop w:val="0"/>
      <w:marBottom w:val="0"/>
      <w:divBdr>
        <w:top w:val="none" w:sz="0" w:space="0" w:color="auto"/>
        <w:left w:val="none" w:sz="0" w:space="0" w:color="auto"/>
        <w:bottom w:val="none" w:sz="0" w:space="0" w:color="auto"/>
        <w:right w:val="none" w:sz="0" w:space="0" w:color="auto"/>
      </w:divBdr>
    </w:div>
    <w:div w:id="1884973586">
      <w:bodyDiv w:val="1"/>
      <w:marLeft w:val="0"/>
      <w:marRight w:val="0"/>
      <w:marTop w:val="0"/>
      <w:marBottom w:val="0"/>
      <w:divBdr>
        <w:top w:val="none" w:sz="0" w:space="0" w:color="auto"/>
        <w:left w:val="none" w:sz="0" w:space="0" w:color="auto"/>
        <w:bottom w:val="none" w:sz="0" w:space="0" w:color="auto"/>
        <w:right w:val="none" w:sz="0" w:space="0" w:color="auto"/>
      </w:divBdr>
    </w:div>
    <w:div w:id="1887376572">
      <w:bodyDiv w:val="1"/>
      <w:marLeft w:val="0"/>
      <w:marRight w:val="0"/>
      <w:marTop w:val="0"/>
      <w:marBottom w:val="0"/>
      <w:divBdr>
        <w:top w:val="none" w:sz="0" w:space="0" w:color="auto"/>
        <w:left w:val="none" w:sz="0" w:space="0" w:color="auto"/>
        <w:bottom w:val="none" w:sz="0" w:space="0" w:color="auto"/>
        <w:right w:val="none" w:sz="0" w:space="0" w:color="auto"/>
      </w:divBdr>
    </w:div>
    <w:div w:id="1887831483">
      <w:bodyDiv w:val="1"/>
      <w:marLeft w:val="0"/>
      <w:marRight w:val="0"/>
      <w:marTop w:val="0"/>
      <w:marBottom w:val="0"/>
      <w:divBdr>
        <w:top w:val="none" w:sz="0" w:space="0" w:color="auto"/>
        <w:left w:val="none" w:sz="0" w:space="0" w:color="auto"/>
        <w:bottom w:val="none" w:sz="0" w:space="0" w:color="auto"/>
        <w:right w:val="none" w:sz="0" w:space="0" w:color="auto"/>
      </w:divBdr>
    </w:div>
    <w:div w:id="1898275704">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439061">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1427010">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924699">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7325193">
      <w:bodyDiv w:val="1"/>
      <w:marLeft w:val="0"/>
      <w:marRight w:val="0"/>
      <w:marTop w:val="0"/>
      <w:marBottom w:val="0"/>
      <w:divBdr>
        <w:top w:val="none" w:sz="0" w:space="0" w:color="auto"/>
        <w:left w:val="none" w:sz="0" w:space="0" w:color="auto"/>
        <w:bottom w:val="none" w:sz="0" w:space="0" w:color="auto"/>
        <w:right w:val="none" w:sz="0" w:space="0" w:color="auto"/>
      </w:divBdr>
    </w:div>
    <w:div w:id="191759297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19630493">
      <w:bodyDiv w:val="1"/>
      <w:marLeft w:val="0"/>
      <w:marRight w:val="0"/>
      <w:marTop w:val="0"/>
      <w:marBottom w:val="0"/>
      <w:divBdr>
        <w:top w:val="none" w:sz="0" w:space="0" w:color="auto"/>
        <w:left w:val="none" w:sz="0" w:space="0" w:color="auto"/>
        <w:bottom w:val="none" w:sz="0" w:space="0" w:color="auto"/>
        <w:right w:val="none" w:sz="0" w:space="0" w:color="auto"/>
      </w:divBdr>
    </w:div>
    <w:div w:id="1919900495">
      <w:bodyDiv w:val="1"/>
      <w:marLeft w:val="0"/>
      <w:marRight w:val="0"/>
      <w:marTop w:val="0"/>
      <w:marBottom w:val="0"/>
      <w:divBdr>
        <w:top w:val="none" w:sz="0" w:space="0" w:color="auto"/>
        <w:left w:val="none" w:sz="0" w:space="0" w:color="auto"/>
        <w:bottom w:val="none" w:sz="0" w:space="0" w:color="auto"/>
        <w:right w:val="none" w:sz="0" w:space="0" w:color="auto"/>
      </w:divBdr>
    </w:div>
    <w:div w:id="1921408417">
      <w:bodyDiv w:val="1"/>
      <w:marLeft w:val="0"/>
      <w:marRight w:val="0"/>
      <w:marTop w:val="0"/>
      <w:marBottom w:val="0"/>
      <w:divBdr>
        <w:top w:val="none" w:sz="0" w:space="0" w:color="auto"/>
        <w:left w:val="none" w:sz="0" w:space="0" w:color="auto"/>
        <w:bottom w:val="none" w:sz="0" w:space="0" w:color="auto"/>
        <w:right w:val="none" w:sz="0" w:space="0" w:color="auto"/>
      </w:divBdr>
    </w:div>
    <w:div w:id="1925185963">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0790719">
      <w:bodyDiv w:val="1"/>
      <w:marLeft w:val="0"/>
      <w:marRight w:val="0"/>
      <w:marTop w:val="0"/>
      <w:marBottom w:val="0"/>
      <w:divBdr>
        <w:top w:val="none" w:sz="0" w:space="0" w:color="auto"/>
        <w:left w:val="none" w:sz="0" w:space="0" w:color="auto"/>
        <w:bottom w:val="none" w:sz="0" w:space="0" w:color="auto"/>
        <w:right w:val="none" w:sz="0" w:space="0" w:color="auto"/>
      </w:divBdr>
    </w:div>
    <w:div w:id="1942715895">
      <w:bodyDiv w:val="1"/>
      <w:marLeft w:val="0"/>
      <w:marRight w:val="0"/>
      <w:marTop w:val="0"/>
      <w:marBottom w:val="0"/>
      <w:divBdr>
        <w:top w:val="none" w:sz="0" w:space="0" w:color="auto"/>
        <w:left w:val="none" w:sz="0" w:space="0" w:color="auto"/>
        <w:bottom w:val="none" w:sz="0" w:space="0" w:color="auto"/>
        <w:right w:val="none" w:sz="0" w:space="0" w:color="auto"/>
      </w:divBdr>
      <w:divsChild>
        <w:div w:id="488983907">
          <w:marLeft w:val="0"/>
          <w:marRight w:val="0"/>
          <w:marTop w:val="0"/>
          <w:marBottom w:val="0"/>
          <w:divBdr>
            <w:top w:val="none" w:sz="0" w:space="0" w:color="auto"/>
            <w:left w:val="none" w:sz="0" w:space="0" w:color="auto"/>
            <w:bottom w:val="none" w:sz="0" w:space="0" w:color="auto"/>
            <w:right w:val="none" w:sz="0" w:space="0" w:color="auto"/>
          </w:divBdr>
          <w:divsChild>
            <w:div w:id="194465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2069">
      <w:bodyDiv w:val="1"/>
      <w:marLeft w:val="0"/>
      <w:marRight w:val="0"/>
      <w:marTop w:val="0"/>
      <w:marBottom w:val="0"/>
      <w:divBdr>
        <w:top w:val="none" w:sz="0" w:space="0" w:color="auto"/>
        <w:left w:val="none" w:sz="0" w:space="0" w:color="auto"/>
        <w:bottom w:val="none" w:sz="0" w:space="0" w:color="auto"/>
        <w:right w:val="none" w:sz="0" w:space="0" w:color="auto"/>
      </w:divBdr>
      <w:divsChild>
        <w:div w:id="1236821843">
          <w:marLeft w:val="0"/>
          <w:marRight w:val="0"/>
          <w:marTop w:val="0"/>
          <w:marBottom w:val="0"/>
          <w:divBdr>
            <w:top w:val="none" w:sz="0" w:space="0" w:color="auto"/>
            <w:left w:val="none" w:sz="0" w:space="0" w:color="auto"/>
            <w:bottom w:val="none" w:sz="0" w:space="0" w:color="auto"/>
            <w:right w:val="none" w:sz="0" w:space="0" w:color="auto"/>
          </w:divBdr>
          <w:divsChild>
            <w:div w:id="119669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272212">
      <w:bodyDiv w:val="1"/>
      <w:marLeft w:val="0"/>
      <w:marRight w:val="0"/>
      <w:marTop w:val="0"/>
      <w:marBottom w:val="0"/>
      <w:divBdr>
        <w:top w:val="none" w:sz="0" w:space="0" w:color="auto"/>
        <w:left w:val="none" w:sz="0" w:space="0" w:color="auto"/>
        <w:bottom w:val="none" w:sz="0" w:space="0" w:color="auto"/>
        <w:right w:val="none" w:sz="0" w:space="0" w:color="auto"/>
      </w:divBdr>
    </w:div>
    <w:div w:id="1965383362">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3727201">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1999847903">
      <w:bodyDiv w:val="1"/>
      <w:marLeft w:val="0"/>
      <w:marRight w:val="0"/>
      <w:marTop w:val="0"/>
      <w:marBottom w:val="0"/>
      <w:divBdr>
        <w:top w:val="none" w:sz="0" w:space="0" w:color="auto"/>
        <w:left w:val="none" w:sz="0" w:space="0" w:color="auto"/>
        <w:bottom w:val="none" w:sz="0" w:space="0" w:color="auto"/>
        <w:right w:val="none" w:sz="0" w:space="0" w:color="auto"/>
      </w:divBdr>
      <w:divsChild>
        <w:div w:id="634720520">
          <w:marLeft w:val="0"/>
          <w:marRight w:val="0"/>
          <w:marTop w:val="0"/>
          <w:marBottom w:val="0"/>
          <w:divBdr>
            <w:top w:val="none" w:sz="0" w:space="0" w:color="auto"/>
            <w:left w:val="none" w:sz="0" w:space="0" w:color="auto"/>
            <w:bottom w:val="none" w:sz="0" w:space="0" w:color="auto"/>
            <w:right w:val="none" w:sz="0" w:space="0" w:color="auto"/>
          </w:divBdr>
          <w:divsChild>
            <w:div w:id="153152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956527">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903430">
      <w:bodyDiv w:val="1"/>
      <w:marLeft w:val="0"/>
      <w:marRight w:val="0"/>
      <w:marTop w:val="0"/>
      <w:marBottom w:val="0"/>
      <w:divBdr>
        <w:top w:val="none" w:sz="0" w:space="0" w:color="auto"/>
        <w:left w:val="none" w:sz="0" w:space="0" w:color="auto"/>
        <w:bottom w:val="none" w:sz="0" w:space="0" w:color="auto"/>
        <w:right w:val="none" w:sz="0" w:space="0" w:color="auto"/>
      </w:divBdr>
    </w:div>
    <w:div w:id="2009864365">
      <w:bodyDiv w:val="1"/>
      <w:marLeft w:val="0"/>
      <w:marRight w:val="0"/>
      <w:marTop w:val="0"/>
      <w:marBottom w:val="0"/>
      <w:divBdr>
        <w:top w:val="none" w:sz="0" w:space="0" w:color="auto"/>
        <w:left w:val="none" w:sz="0" w:space="0" w:color="auto"/>
        <w:bottom w:val="none" w:sz="0" w:space="0" w:color="auto"/>
        <w:right w:val="none" w:sz="0" w:space="0" w:color="auto"/>
      </w:divBdr>
    </w:div>
    <w:div w:id="200994230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1827509">
      <w:bodyDiv w:val="1"/>
      <w:marLeft w:val="0"/>
      <w:marRight w:val="0"/>
      <w:marTop w:val="0"/>
      <w:marBottom w:val="0"/>
      <w:divBdr>
        <w:top w:val="none" w:sz="0" w:space="0" w:color="auto"/>
        <w:left w:val="none" w:sz="0" w:space="0" w:color="auto"/>
        <w:bottom w:val="none" w:sz="0" w:space="0" w:color="auto"/>
        <w:right w:val="none" w:sz="0" w:space="0" w:color="auto"/>
      </w:divBdr>
    </w:div>
    <w:div w:id="201661587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39237237">
      <w:bodyDiv w:val="1"/>
      <w:marLeft w:val="0"/>
      <w:marRight w:val="0"/>
      <w:marTop w:val="0"/>
      <w:marBottom w:val="0"/>
      <w:divBdr>
        <w:top w:val="none" w:sz="0" w:space="0" w:color="auto"/>
        <w:left w:val="none" w:sz="0" w:space="0" w:color="auto"/>
        <w:bottom w:val="none" w:sz="0" w:space="0" w:color="auto"/>
        <w:right w:val="none" w:sz="0" w:space="0" w:color="auto"/>
      </w:divBdr>
    </w:div>
    <w:div w:id="2039626099">
      <w:bodyDiv w:val="1"/>
      <w:marLeft w:val="0"/>
      <w:marRight w:val="0"/>
      <w:marTop w:val="0"/>
      <w:marBottom w:val="0"/>
      <w:divBdr>
        <w:top w:val="none" w:sz="0" w:space="0" w:color="auto"/>
        <w:left w:val="none" w:sz="0" w:space="0" w:color="auto"/>
        <w:bottom w:val="none" w:sz="0" w:space="0" w:color="auto"/>
        <w:right w:val="none" w:sz="0" w:space="0" w:color="auto"/>
      </w:divBdr>
    </w:div>
    <w:div w:id="2051371945">
      <w:bodyDiv w:val="1"/>
      <w:marLeft w:val="0"/>
      <w:marRight w:val="0"/>
      <w:marTop w:val="0"/>
      <w:marBottom w:val="0"/>
      <w:divBdr>
        <w:top w:val="none" w:sz="0" w:space="0" w:color="auto"/>
        <w:left w:val="none" w:sz="0" w:space="0" w:color="auto"/>
        <w:bottom w:val="none" w:sz="0" w:space="0" w:color="auto"/>
        <w:right w:val="none" w:sz="0" w:space="0" w:color="auto"/>
      </w:divBdr>
    </w:div>
    <w:div w:id="2051874815">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1435674">
      <w:bodyDiv w:val="1"/>
      <w:marLeft w:val="0"/>
      <w:marRight w:val="0"/>
      <w:marTop w:val="0"/>
      <w:marBottom w:val="0"/>
      <w:divBdr>
        <w:top w:val="none" w:sz="0" w:space="0" w:color="auto"/>
        <w:left w:val="none" w:sz="0" w:space="0" w:color="auto"/>
        <w:bottom w:val="none" w:sz="0" w:space="0" w:color="auto"/>
        <w:right w:val="none" w:sz="0" w:space="0" w:color="auto"/>
      </w:divBdr>
    </w:div>
    <w:div w:id="2063629042">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2152960">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1005134241">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sChild>
    </w:div>
    <w:div w:id="2076122100">
      <w:bodyDiv w:val="1"/>
      <w:marLeft w:val="0"/>
      <w:marRight w:val="0"/>
      <w:marTop w:val="0"/>
      <w:marBottom w:val="0"/>
      <w:divBdr>
        <w:top w:val="none" w:sz="0" w:space="0" w:color="auto"/>
        <w:left w:val="none" w:sz="0" w:space="0" w:color="auto"/>
        <w:bottom w:val="none" w:sz="0" w:space="0" w:color="auto"/>
        <w:right w:val="none" w:sz="0" w:space="0" w:color="auto"/>
      </w:divBdr>
    </w:div>
    <w:div w:id="2080789525">
      <w:bodyDiv w:val="1"/>
      <w:marLeft w:val="0"/>
      <w:marRight w:val="0"/>
      <w:marTop w:val="0"/>
      <w:marBottom w:val="0"/>
      <w:divBdr>
        <w:top w:val="none" w:sz="0" w:space="0" w:color="auto"/>
        <w:left w:val="none" w:sz="0" w:space="0" w:color="auto"/>
        <w:bottom w:val="none" w:sz="0" w:space="0" w:color="auto"/>
        <w:right w:val="none" w:sz="0" w:space="0" w:color="auto"/>
      </w:divBdr>
    </w:div>
    <w:div w:id="2085643967">
      <w:bodyDiv w:val="1"/>
      <w:marLeft w:val="0"/>
      <w:marRight w:val="0"/>
      <w:marTop w:val="0"/>
      <w:marBottom w:val="0"/>
      <w:divBdr>
        <w:top w:val="none" w:sz="0" w:space="0" w:color="auto"/>
        <w:left w:val="none" w:sz="0" w:space="0" w:color="auto"/>
        <w:bottom w:val="none" w:sz="0" w:space="0" w:color="auto"/>
        <w:right w:val="none" w:sz="0" w:space="0" w:color="auto"/>
      </w:divBdr>
    </w:div>
    <w:div w:id="2088720672">
      <w:bodyDiv w:val="1"/>
      <w:marLeft w:val="0"/>
      <w:marRight w:val="0"/>
      <w:marTop w:val="0"/>
      <w:marBottom w:val="0"/>
      <w:divBdr>
        <w:top w:val="none" w:sz="0" w:space="0" w:color="auto"/>
        <w:left w:val="none" w:sz="0" w:space="0" w:color="auto"/>
        <w:bottom w:val="none" w:sz="0" w:space="0" w:color="auto"/>
        <w:right w:val="none" w:sz="0" w:space="0" w:color="auto"/>
      </w:divBdr>
    </w:div>
    <w:div w:id="2090496800">
      <w:bodyDiv w:val="1"/>
      <w:marLeft w:val="0"/>
      <w:marRight w:val="0"/>
      <w:marTop w:val="0"/>
      <w:marBottom w:val="0"/>
      <w:divBdr>
        <w:top w:val="none" w:sz="0" w:space="0" w:color="auto"/>
        <w:left w:val="none" w:sz="0" w:space="0" w:color="auto"/>
        <w:bottom w:val="none" w:sz="0" w:space="0" w:color="auto"/>
        <w:right w:val="none" w:sz="0" w:space="0" w:color="auto"/>
      </w:divBdr>
    </w:div>
    <w:div w:id="2092971048">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7454946">
      <w:bodyDiv w:val="1"/>
      <w:marLeft w:val="0"/>
      <w:marRight w:val="0"/>
      <w:marTop w:val="0"/>
      <w:marBottom w:val="0"/>
      <w:divBdr>
        <w:top w:val="none" w:sz="0" w:space="0" w:color="auto"/>
        <w:left w:val="none" w:sz="0" w:space="0" w:color="auto"/>
        <w:bottom w:val="none" w:sz="0" w:space="0" w:color="auto"/>
        <w:right w:val="none" w:sz="0" w:space="0" w:color="auto"/>
      </w:divBdr>
    </w:div>
    <w:div w:id="2111469280">
      <w:bodyDiv w:val="1"/>
      <w:marLeft w:val="0"/>
      <w:marRight w:val="0"/>
      <w:marTop w:val="0"/>
      <w:marBottom w:val="0"/>
      <w:divBdr>
        <w:top w:val="none" w:sz="0" w:space="0" w:color="auto"/>
        <w:left w:val="none" w:sz="0" w:space="0" w:color="auto"/>
        <w:bottom w:val="none" w:sz="0" w:space="0" w:color="auto"/>
        <w:right w:val="none" w:sz="0" w:space="0" w:color="auto"/>
      </w:divBdr>
    </w:div>
    <w:div w:id="2119832446">
      <w:bodyDiv w:val="1"/>
      <w:marLeft w:val="0"/>
      <w:marRight w:val="0"/>
      <w:marTop w:val="0"/>
      <w:marBottom w:val="0"/>
      <w:divBdr>
        <w:top w:val="none" w:sz="0" w:space="0" w:color="auto"/>
        <w:left w:val="none" w:sz="0" w:space="0" w:color="auto"/>
        <w:bottom w:val="none" w:sz="0" w:space="0" w:color="auto"/>
        <w:right w:val="none" w:sz="0" w:space="0" w:color="auto"/>
      </w:divBdr>
    </w:div>
    <w:div w:id="2121140960">
      <w:bodyDiv w:val="1"/>
      <w:marLeft w:val="0"/>
      <w:marRight w:val="0"/>
      <w:marTop w:val="0"/>
      <w:marBottom w:val="0"/>
      <w:divBdr>
        <w:top w:val="none" w:sz="0" w:space="0" w:color="auto"/>
        <w:left w:val="none" w:sz="0" w:space="0" w:color="auto"/>
        <w:bottom w:val="none" w:sz="0" w:space="0" w:color="auto"/>
        <w:right w:val="none" w:sz="0" w:space="0" w:color="auto"/>
      </w:divBdr>
    </w:div>
    <w:div w:id="2123843681">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28968020">
      <w:bodyDiv w:val="1"/>
      <w:marLeft w:val="0"/>
      <w:marRight w:val="0"/>
      <w:marTop w:val="0"/>
      <w:marBottom w:val="0"/>
      <w:divBdr>
        <w:top w:val="none" w:sz="0" w:space="0" w:color="auto"/>
        <w:left w:val="none" w:sz="0" w:space="0" w:color="auto"/>
        <w:bottom w:val="none" w:sz="0" w:space="0" w:color="auto"/>
        <w:right w:val="none" w:sz="0" w:space="0" w:color="auto"/>
      </w:divBdr>
    </w:div>
    <w:div w:id="2130008457">
      <w:bodyDiv w:val="1"/>
      <w:marLeft w:val="0"/>
      <w:marRight w:val="0"/>
      <w:marTop w:val="0"/>
      <w:marBottom w:val="0"/>
      <w:divBdr>
        <w:top w:val="none" w:sz="0" w:space="0" w:color="auto"/>
        <w:left w:val="none" w:sz="0" w:space="0" w:color="auto"/>
        <w:bottom w:val="none" w:sz="0" w:space="0" w:color="auto"/>
        <w:right w:val="none" w:sz="0" w:space="0" w:color="auto"/>
      </w:divBdr>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4321971">
      <w:bodyDiv w:val="1"/>
      <w:marLeft w:val="0"/>
      <w:marRight w:val="0"/>
      <w:marTop w:val="0"/>
      <w:marBottom w:val="0"/>
      <w:divBdr>
        <w:top w:val="none" w:sz="0" w:space="0" w:color="auto"/>
        <w:left w:val="none" w:sz="0" w:space="0" w:color="auto"/>
        <w:bottom w:val="none" w:sz="0" w:space="0" w:color="auto"/>
        <w:right w:val="none" w:sz="0" w:space="0" w:color="auto"/>
      </w:divBdr>
    </w:div>
    <w:div w:id="213767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04059\Downloads\energy_efficiency_dat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TW" sz="1200"/>
              <a:t>Joint</a:t>
            </a:r>
            <a:r>
              <a:rPr lang="en-US" altLang="zh-TW" sz="1200" baseline="0"/>
              <a:t> BS/UE adaptation via common indication</a:t>
            </a:r>
            <a:endParaRPr lang="zh-TW" alt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BS EE gain</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'Energy Efficiency Data'!$I$3:$I$7</c:f>
              <c:numCache>
                <c:formatCode>0%</c:formatCode>
                <c:ptCount val="5"/>
                <c:pt idx="0">
                  <c:v>0.05</c:v>
                </c:pt>
                <c:pt idx="1">
                  <c:v>0.1</c:v>
                </c:pt>
                <c:pt idx="2">
                  <c:v>0.15</c:v>
                </c:pt>
                <c:pt idx="3">
                  <c:v>0.2</c:v>
                </c:pt>
                <c:pt idx="4">
                  <c:v>0.25</c:v>
                </c:pt>
              </c:numCache>
            </c:numRef>
          </c:cat>
          <c:val>
            <c:numRef>
              <c:f>'Energy Efficiency Data'!$J$3:$J$7</c:f>
              <c:numCache>
                <c:formatCode>0.0%</c:formatCode>
                <c:ptCount val="5"/>
                <c:pt idx="0">
                  <c:v>0.48848393334525159</c:v>
                </c:pt>
                <c:pt idx="1">
                  <c:v>0.30820489793820049</c:v>
                </c:pt>
                <c:pt idx="2">
                  <c:v>0.18689411663352948</c:v>
                </c:pt>
                <c:pt idx="3">
                  <c:v>9.7220487959480809E-2</c:v>
                </c:pt>
                <c:pt idx="4">
                  <c:v>1.718709812795351E-2</c:v>
                </c:pt>
              </c:numCache>
            </c:numRef>
          </c:val>
          <c:smooth val="0"/>
          <c:extLst>
            <c:ext xmlns:c16="http://schemas.microsoft.com/office/drawing/2014/chart" uri="{C3380CC4-5D6E-409C-BE32-E72D297353CC}">
              <c16:uniqueId val="{00000000-81E4-432C-948D-F1357C36158B}"/>
            </c:ext>
          </c:extLst>
        </c:ser>
        <c:ser>
          <c:idx val="1"/>
          <c:order val="1"/>
          <c:tx>
            <c:v>UE EE gain</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'Energy Efficiency Data'!$I$3:$I$7</c:f>
              <c:numCache>
                <c:formatCode>0%</c:formatCode>
                <c:ptCount val="5"/>
                <c:pt idx="0">
                  <c:v>0.05</c:v>
                </c:pt>
                <c:pt idx="1">
                  <c:v>0.1</c:v>
                </c:pt>
                <c:pt idx="2">
                  <c:v>0.15</c:v>
                </c:pt>
                <c:pt idx="3">
                  <c:v>0.2</c:v>
                </c:pt>
                <c:pt idx="4">
                  <c:v>0.25</c:v>
                </c:pt>
              </c:numCache>
            </c:numRef>
          </c:cat>
          <c:val>
            <c:numRef>
              <c:f>'Energy Efficiency Data'!$K$3:$K$7</c:f>
              <c:numCache>
                <c:formatCode>0.0%</c:formatCode>
                <c:ptCount val="5"/>
                <c:pt idx="0">
                  <c:v>0.58136474031857155</c:v>
                </c:pt>
                <c:pt idx="1">
                  <c:v>0.48968851305073896</c:v>
                </c:pt>
                <c:pt idx="2">
                  <c:v>0.42252297431704205</c:v>
                </c:pt>
                <c:pt idx="3">
                  <c:v>0.35511381538823822</c:v>
                </c:pt>
                <c:pt idx="4">
                  <c:v>0.19557671541656407</c:v>
                </c:pt>
              </c:numCache>
            </c:numRef>
          </c:val>
          <c:smooth val="0"/>
          <c:extLst>
            <c:ext xmlns:c16="http://schemas.microsoft.com/office/drawing/2014/chart" uri="{C3380CC4-5D6E-409C-BE32-E72D297353CC}">
              <c16:uniqueId val="{00000001-81E4-432C-948D-F1357C36158B}"/>
            </c:ext>
          </c:extLst>
        </c:ser>
        <c:dLbls>
          <c:showLegendKey val="0"/>
          <c:showVal val="0"/>
          <c:showCatName val="0"/>
          <c:showSerName val="0"/>
          <c:showPercent val="0"/>
          <c:showBubbleSize val="0"/>
        </c:dLbls>
        <c:marker val="1"/>
        <c:smooth val="0"/>
        <c:axId val="940488415"/>
        <c:axId val="2135117119"/>
      </c:lineChart>
      <c:catAx>
        <c:axId val="94048841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Cell</a:t>
                </a:r>
                <a:r>
                  <a:rPr lang="en-US" altLang="zh-TW" baseline="0"/>
                  <a:t> Load</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5117119"/>
        <c:crosses val="autoZero"/>
        <c:auto val="1"/>
        <c:lblAlgn val="ctr"/>
        <c:lblOffset val="100"/>
        <c:noMultiLvlLbl val="0"/>
      </c:catAx>
      <c:valAx>
        <c:axId val="21351171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Energy</a:t>
                </a:r>
                <a:r>
                  <a:rPr lang="en-US" altLang="zh-TW" baseline="0"/>
                  <a:t> Efficiency Gain</a:t>
                </a:r>
                <a:endParaRPr lang="zh-TW" altLang="en-US"/>
              </a:p>
            </c:rich>
          </c:tx>
          <c:layout>
            <c:manualLayout>
              <c:xMode val="edge"/>
              <c:yMode val="edge"/>
              <c:x val="3.1312268716196981E-2"/>
              <c:y val="0.1362327188940092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04884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Sensitivity xmlns="554bdb6f-217d-4cda-85cc-0ca32126c36c">Unclassified</Sensitivity>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228D7082-88D8-4B17-9A53-FF7DEC40B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80A7CBA4-CE5D-421E-9CA7-29CBEE04B904}">
  <ds:schemaRefs>
    <ds:schemaRef ds:uri="http://schemas.microsoft.com/office/2006/documentManagement/types"/>
    <ds:schemaRef ds:uri="554bdb6f-217d-4cda-85cc-0ca32126c36c"/>
    <ds:schemaRef ds:uri="http://schemas.microsoft.com/office/infopath/2007/PartnerControls"/>
    <ds:schemaRef ds:uri="http://purl.org/dc/elements/1.1/"/>
    <ds:schemaRef ds:uri="9238aee7-caa6-41e3-83d0-457e088803cc"/>
    <ds:schemaRef ds:uri="dfb9c0e7-f8ff-4c2e-83b3-258d4f9c1bfe"/>
    <ds:schemaRef ds:uri="http://schemas.openxmlformats.org/package/2006/metadata/core-properties"/>
    <ds:schemaRef ds:uri="http://schemas.microsoft.com/office/2006/metadata/properties"/>
    <ds:schemaRef ds:uri="http://www.w3.org/XML/1998/namespace"/>
    <ds:schemaRef ds:uri="http://purl.org/dc/dcmitype/"/>
    <ds:schemaRef ds:uri="http://purl.org/dc/te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717</TotalTime>
  <Pages>14</Pages>
  <Words>5919</Words>
  <Characters>36533</Characters>
  <Application>Microsoft Office Word</Application>
  <DocSecurity>0</DocSecurity>
  <Lines>304</Lines>
  <Paragraphs>84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CW Tsai (蔡秋薇)</cp:lastModifiedBy>
  <cp:revision>473</cp:revision>
  <cp:lastPrinted>2017-10-02T09:51:00Z</cp:lastPrinted>
  <dcterms:created xsi:type="dcterms:W3CDTF">2025-11-06T02:48:00Z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0x010100273864C3BC768F4C83F728553A532E20</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